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right="380"/>
        <w:spacing w:after="0" w:line="266" w:lineRule="auto"/>
        <w:rPr>
          <w:sz w:val="20"/>
          <w:szCs w:val="20"/>
          <w:color w:val="auto"/>
        </w:rPr>
      </w:pPr>
      <w:r>
        <w:rPr>
          <w:rFonts w:ascii="Arial" w:cs="Arial" w:eastAsia="Arial" w:hAnsi="Arial"/>
          <w:sz w:val="18"/>
          <w:szCs w:val="18"/>
          <w:b w:val="1"/>
          <w:bCs w:val="1"/>
          <w:color w:val="auto"/>
        </w:rPr>
        <w:t>Confidential Draft Submission No. 1 submitted to the Securities and Exchange Commission on September 4, 2020. This draft registration statement has not been filed publicly with the Securities and Exchange Commission and all information herein remains strictly confidential.</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MOTORSPORT GAMING US LLC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be converted as described herein to a corporation named</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MOTORSPORT GAMES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7372</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83-1463958</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5972 NE 4</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Avenue</w:t>
      </w:r>
    </w:p>
    <w:p>
      <w:pPr>
        <w:jc w:val="center"/>
        <w:spacing w:after="0"/>
        <w:rPr>
          <w:sz w:val="20"/>
          <w:szCs w:val="20"/>
          <w:color w:val="auto"/>
        </w:rPr>
      </w:pPr>
      <w:r>
        <w:rPr>
          <w:rFonts w:ascii="Arial" w:cs="Arial" w:eastAsia="Arial" w:hAnsi="Arial"/>
          <w:sz w:val="18"/>
          <w:szCs w:val="18"/>
          <w:b w:val="1"/>
          <w:bCs w:val="1"/>
          <w:color w:val="auto"/>
        </w:rPr>
        <w:t>Miami, FL 33137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507-8799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Dmitry Kozko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Motorsport Games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5972 NE 4th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FL 33137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507-8799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5200" w:type="dxa"/>
            <w:vAlign w:val="bottom"/>
          </w:tcPr>
          <w:p>
            <w:pPr>
              <w:ind w:left="560"/>
              <w:spacing w:after="0"/>
              <w:rPr>
                <w:sz w:val="20"/>
                <w:szCs w:val="20"/>
                <w:color w:val="auto"/>
              </w:rPr>
            </w:pPr>
            <w:r>
              <w:rPr>
                <w:rFonts w:ascii="Arial" w:cs="Arial" w:eastAsia="Arial" w:hAnsi="Arial"/>
                <w:sz w:val="18"/>
                <w:szCs w:val="18"/>
                <w:i w:val="1"/>
                <w:iCs w:val="1"/>
                <w:color w:val="auto"/>
              </w:rPr>
              <w:t>Copies to</w:t>
            </w:r>
            <w:r>
              <w:rPr>
                <w:rFonts w:ascii="Arial" w:cs="Arial" w:eastAsia="Arial" w:hAnsi="Arial"/>
                <w:sz w:val="18"/>
                <w:szCs w:val="18"/>
                <w:color w:val="auto"/>
              </w:rPr>
              <w:t>:</w:t>
            </w:r>
          </w:p>
        </w:tc>
      </w:tr>
      <w:tr>
        <w:trPr>
          <w:trHeight w:val="414"/>
        </w:trPr>
        <w:tc>
          <w:tcPr>
            <w:tcW w:w="3320" w:type="dxa"/>
            <w:vAlign w:val="bottom"/>
          </w:tcPr>
          <w:p>
            <w:pPr>
              <w:jc w:val="center"/>
              <w:ind w:right="472"/>
              <w:spacing w:after="0"/>
              <w:rPr>
                <w:sz w:val="20"/>
                <w:szCs w:val="20"/>
                <w:color w:val="auto"/>
              </w:rPr>
            </w:pPr>
            <w:r>
              <w:rPr>
                <w:rFonts w:ascii="Arial" w:cs="Arial" w:eastAsia="Arial" w:hAnsi="Arial"/>
                <w:sz w:val="18"/>
                <w:szCs w:val="18"/>
                <w:b w:val="1"/>
                <w:bCs w:val="1"/>
                <w:color w:val="auto"/>
                <w:w w:val="89"/>
              </w:rPr>
              <w:t>Serge V. Pavluk, Esq.</w:t>
            </w:r>
          </w:p>
        </w:tc>
        <w:tc>
          <w:tcPr>
            <w:tcW w:w="5200" w:type="dxa"/>
            <w:vAlign w:val="bottom"/>
          </w:tcPr>
          <w:p>
            <w:pPr>
              <w:jc w:val="center"/>
              <w:ind w:left="2290"/>
              <w:spacing w:after="0"/>
              <w:rPr>
                <w:sz w:val="20"/>
                <w:szCs w:val="20"/>
                <w:color w:val="auto"/>
              </w:rPr>
            </w:pPr>
            <w:r>
              <w:rPr>
                <w:rFonts w:ascii="Arial" w:cs="Arial" w:eastAsia="Arial" w:hAnsi="Arial"/>
                <w:sz w:val="18"/>
                <w:szCs w:val="18"/>
                <w:b w:val="1"/>
                <w:bCs w:val="1"/>
                <w:color w:val="auto"/>
                <w:w w:val="89"/>
              </w:rPr>
              <w:t>Ben A. Stacke, Esq.</w:t>
            </w:r>
          </w:p>
        </w:tc>
      </w:tr>
      <w:tr>
        <w:trPr>
          <w:trHeight w:val="216"/>
        </w:trPr>
        <w:tc>
          <w:tcPr>
            <w:tcW w:w="3320" w:type="dxa"/>
            <w:vAlign w:val="bottom"/>
          </w:tcPr>
          <w:p>
            <w:pPr>
              <w:jc w:val="center"/>
              <w:ind w:right="472"/>
              <w:spacing w:after="0"/>
              <w:rPr>
                <w:sz w:val="20"/>
                <w:szCs w:val="20"/>
                <w:color w:val="auto"/>
              </w:rPr>
            </w:pPr>
            <w:r>
              <w:rPr>
                <w:rFonts w:ascii="Arial" w:cs="Arial" w:eastAsia="Arial" w:hAnsi="Arial"/>
                <w:sz w:val="18"/>
                <w:szCs w:val="18"/>
                <w:b w:val="1"/>
                <w:bCs w:val="1"/>
                <w:color w:val="auto"/>
                <w:w w:val="92"/>
              </w:rPr>
              <w:t>Kevin Zen, Esq.</w:t>
            </w:r>
          </w:p>
        </w:tc>
        <w:tc>
          <w:tcPr>
            <w:tcW w:w="5200" w:type="dxa"/>
            <w:vAlign w:val="bottom"/>
          </w:tcPr>
          <w:p>
            <w:pPr>
              <w:jc w:val="center"/>
              <w:ind w:left="2290"/>
              <w:spacing w:after="0"/>
              <w:rPr>
                <w:sz w:val="20"/>
                <w:szCs w:val="20"/>
                <w:color w:val="auto"/>
              </w:rPr>
            </w:pPr>
            <w:r>
              <w:rPr>
                <w:rFonts w:ascii="Arial" w:cs="Arial" w:eastAsia="Arial" w:hAnsi="Arial"/>
                <w:sz w:val="18"/>
                <w:szCs w:val="18"/>
                <w:b w:val="1"/>
                <w:bCs w:val="1"/>
                <w:color w:val="auto"/>
                <w:w w:val="94"/>
              </w:rPr>
              <w:t>Faegre Drinker Biddle &amp; Reath LLP</w:t>
            </w:r>
          </w:p>
        </w:tc>
      </w:tr>
      <w:tr>
        <w:trPr>
          <w:trHeight w:val="216"/>
        </w:trPr>
        <w:tc>
          <w:tcPr>
            <w:tcW w:w="3320" w:type="dxa"/>
            <w:vAlign w:val="bottom"/>
          </w:tcPr>
          <w:p>
            <w:pPr>
              <w:jc w:val="center"/>
              <w:ind w:right="472"/>
              <w:spacing w:after="0"/>
              <w:rPr>
                <w:sz w:val="20"/>
                <w:szCs w:val="20"/>
                <w:color w:val="auto"/>
              </w:rPr>
            </w:pPr>
            <w:r>
              <w:rPr>
                <w:rFonts w:ascii="Arial" w:cs="Arial" w:eastAsia="Arial" w:hAnsi="Arial"/>
                <w:sz w:val="18"/>
                <w:szCs w:val="18"/>
                <w:b w:val="1"/>
                <w:bCs w:val="1"/>
                <w:color w:val="auto"/>
                <w:w w:val="95"/>
              </w:rPr>
              <w:t>Snell &amp; Wilmer L.L.P.</w:t>
            </w:r>
          </w:p>
        </w:tc>
        <w:tc>
          <w:tcPr>
            <w:tcW w:w="5200" w:type="dxa"/>
            <w:vAlign w:val="bottom"/>
          </w:tcPr>
          <w:p>
            <w:pPr>
              <w:jc w:val="center"/>
              <w:ind w:left="2290"/>
              <w:spacing w:after="0"/>
              <w:rPr>
                <w:sz w:val="20"/>
                <w:szCs w:val="20"/>
                <w:color w:val="auto"/>
              </w:rPr>
            </w:pPr>
            <w:r>
              <w:rPr>
                <w:rFonts w:ascii="Arial" w:cs="Arial" w:eastAsia="Arial" w:hAnsi="Arial"/>
                <w:sz w:val="18"/>
                <w:szCs w:val="18"/>
                <w:b w:val="1"/>
                <w:bCs w:val="1"/>
                <w:color w:val="auto"/>
                <w:w w:val="90"/>
              </w:rPr>
              <w:t>2200 Wells Fargo Center</w:t>
            </w:r>
          </w:p>
        </w:tc>
      </w:tr>
      <w:tr>
        <w:trPr>
          <w:trHeight w:val="221"/>
        </w:trPr>
        <w:tc>
          <w:tcPr>
            <w:tcW w:w="3320" w:type="dxa"/>
            <w:vAlign w:val="bottom"/>
          </w:tcPr>
          <w:p>
            <w:pPr>
              <w:jc w:val="center"/>
              <w:ind w:right="472"/>
              <w:spacing w:after="0" w:line="221" w:lineRule="exact"/>
              <w:rPr>
                <w:sz w:val="20"/>
                <w:szCs w:val="20"/>
                <w:color w:val="auto"/>
              </w:rPr>
            </w:pPr>
            <w:r>
              <w:rPr>
                <w:rFonts w:ascii="Arial" w:cs="Arial" w:eastAsia="Arial" w:hAnsi="Arial"/>
                <w:sz w:val="16"/>
                <w:szCs w:val="16"/>
                <w:b w:val="1"/>
                <w:bCs w:val="1"/>
                <w:color w:val="auto"/>
                <w:w w:val="99"/>
              </w:rPr>
              <w:t>350 South Grand Avenue, 31</w:t>
            </w:r>
            <w:r>
              <w:rPr>
                <w:rFonts w:ascii="Arial" w:cs="Arial" w:eastAsia="Arial" w:hAnsi="Arial"/>
                <w:sz w:val="25"/>
                <w:szCs w:val="25"/>
                <w:b w:val="1"/>
                <w:bCs w:val="1"/>
                <w:color w:val="auto"/>
                <w:w w:val="99"/>
                <w:vertAlign w:val="superscript"/>
              </w:rPr>
              <w:t>st</w:t>
            </w:r>
            <w:r>
              <w:rPr>
                <w:rFonts w:ascii="Arial" w:cs="Arial" w:eastAsia="Arial" w:hAnsi="Arial"/>
                <w:sz w:val="16"/>
                <w:szCs w:val="16"/>
                <w:b w:val="1"/>
                <w:bCs w:val="1"/>
                <w:color w:val="auto"/>
                <w:w w:val="99"/>
              </w:rPr>
              <w:t xml:space="preserve"> Floor</w:t>
            </w:r>
          </w:p>
        </w:tc>
        <w:tc>
          <w:tcPr>
            <w:tcW w:w="5200" w:type="dxa"/>
            <w:vAlign w:val="bottom"/>
          </w:tcPr>
          <w:p>
            <w:pPr>
              <w:jc w:val="center"/>
              <w:ind w:left="2290"/>
              <w:spacing w:after="0"/>
              <w:rPr>
                <w:sz w:val="20"/>
                <w:szCs w:val="20"/>
                <w:color w:val="auto"/>
              </w:rPr>
            </w:pPr>
            <w:r>
              <w:rPr>
                <w:rFonts w:ascii="Arial" w:cs="Arial" w:eastAsia="Arial" w:hAnsi="Arial"/>
                <w:sz w:val="18"/>
                <w:szCs w:val="18"/>
                <w:b w:val="1"/>
                <w:bCs w:val="1"/>
                <w:color w:val="auto"/>
                <w:w w:val="87"/>
              </w:rPr>
              <w:t>90 South Seventh Street</w:t>
            </w:r>
          </w:p>
        </w:tc>
      </w:tr>
      <w:tr>
        <w:trPr>
          <w:trHeight w:val="216"/>
        </w:trPr>
        <w:tc>
          <w:tcPr>
            <w:tcW w:w="3320" w:type="dxa"/>
            <w:vAlign w:val="bottom"/>
          </w:tcPr>
          <w:p>
            <w:pPr>
              <w:jc w:val="center"/>
              <w:ind w:right="472"/>
              <w:spacing w:after="0"/>
              <w:rPr>
                <w:sz w:val="20"/>
                <w:szCs w:val="20"/>
                <w:color w:val="auto"/>
              </w:rPr>
            </w:pPr>
            <w:r>
              <w:rPr>
                <w:rFonts w:ascii="Arial" w:cs="Arial" w:eastAsia="Arial" w:hAnsi="Arial"/>
                <w:sz w:val="18"/>
                <w:szCs w:val="18"/>
                <w:b w:val="1"/>
                <w:bCs w:val="1"/>
                <w:color w:val="auto"/>
                <w:w w:val="90"/>
              </w:rPr>
              <w:t>Los Angeles, CA 90071-3406</w:t>
            </w:r>
          </w:p>
        </w:tc>
        <w:tc>
          <w:tcPr>
            <w:tcW w:w="5200" w:type="dxa"/>
            <w:vAlign w:val="bottom"/>
          </w:tcPr>
          <w:p>
            <w:pPr>
              <w:jc w:val="center"/>
              <w:ind w:left="2290"/>
              <w:spacing w:after="0"/>
              <w:rPr>
                <w:sz w:val="20"/>
                <w:szCs w:val="20"/>
                <w:color w:val="auto"/>
              </w:rPr>
            </w:pPr>
            <w:r>
              <w:rPr>
                <w:rFonts w:ascii="Arial" w:cs="Arial" w:eastAsia="Arial" w:hAnsi="Arial"/>
                <w:sz w:val="18"/>
                <w:szCs w:val="18"/>
                <w:b w:val="1"/>
                <w:bCs w:val="1"/>
                <w:color w:val="auto"/>
                <w:w w:val="90"/>
              </w:rPr>
              <w:t>Minneapolis, Minnesota 55402</w:t>
            </w:r>
          </w:p>
        </w:tc>
      </w:tr>
      <w:tr>
        <w:trPr>
          <w:trHeight w:val="270"/>
        </w:trPr>
        <w:tc>
          <w:tcPr>
            <w:tcW w:w="3320" w:type="dxa"/>
            <w:vAlign w:val="bottom"/>
          </w:tcPr>
          <w:p>
            <w:pPr>
              <w:jc w:val="center"/>
              <w:ind w:right="472"/>
              <w:spacing w:after="0"/>
              <w:rPr>
                <w:sz w:val="20"/>
                <w:szCs w:val="20"/>
                <w:color w:val="auto"/>
              </w:rPr>
            </w:pPr>
            <w:r>
              <w:rPr>
                <w:rFonts w:ascii="Arial" w:cs="Arial" w:eastAsia="Arial" w:hAnsi="Arial"/>
                <w:sz w:val="18"/>
                <w:szCs w:val="18"/>
                <w:b w:val="1"/>
                <w:bCs w:val="1"/>
                <w:color w:val="auto"/>
                <w:w w:val="90"/>
              </w:rPr>
              <w:t>(213) 929-2500</w:t>
            </w:r>
          </w:p>
        </w:tc>
        <w:tc>
          <w:tcPr>
            <w:tcW w:w="520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(612) 766-7000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firstLine="259"/>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the effective date of this registration statement.</w:t>
      </w:r>
    </w:p>
    <w:p>
      <w:pPr>
        <w:spacing w:after="0" w:line="166" w:lineRule="exact"/>
        <w:rPr>
          <w:sz w:val="24"/>
          <w:szCs w:val="24"/>
          <w:color w:val="auto"/>
        </w:rPr>
      </w:pPr>
    </w:p>
    <w:p>
      <w:pPr>
        <w:ind w:firstLine="259"/>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 ]</w:t>
      </w:r>
    </w:p>
    <w:p>
      <w:pPr>
        <w:spacing w:after="0" w:line="170" w:lineRule="exact"/>
        <w:rPr>
          <w:sz w:val="24"/>
          <w:szCs w:val="24"/>
          <w:color w:val="auto"/>
        </w:rPr>
      </w:pPr>
    </w:p>
    <w:p>
      <w:pPr>
        <w:ind w:firstLine="259"/>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firstLine="259"/>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firstLine="259"/>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ectPr>
          <w:pgSz w:w="11900" w:h="16838" w:orient="portrait"/>
          <w:cols w:equalWidth="0" w:num="1">
            <w:col w:w="11240"/>
          </w:cols>
          <w:pgMar w:left="320" w:top="445" w:right="339" w:bottom="0" w:gutter="0" w:footer="0" w:header="0"/>
        </w:sectPr>
      </w:pPr>
    </w:p>
    <w:bookmarkStart w:id="1" w:name="page2"/>
    <w:bookmarkEnd w:id="1"/>
    <w:p>
      <w:pPr>
        <w:jc w:val="both"/>
        <w:ind w:firstLine="25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Non-accelerated filer [X]</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0" w:lineRule="exact"/>
        <w:rPr>
          <w:sz w:val="20"/>
          <w:szCs w:val="20"/>
          <w:color w:val="auto"/>
        </w:rPr>
      </w:pPr>
    </w:p>
    <w:p>
      <w:pPr>
        <w:sectPr>
          <w:pgSz w:w="11900" w:h="16838" w:orient="portrait"/>
          <w:cols w:equalWidth="0" w:num="2">
            <w:col w:w="5580" w:space="720"/>
            <w:col w:w="4940"/>
          </w:cols>
          <w:pgMar w:left="320" w:top="125" w:right="339" w:bottom="1440" w:gutter="0" w:footer="0" w:header="0"/>
          <w:type w:val="continuous"/>
        </w:sectPr>
      </w:pPr>
    </w:p>
    <w:p>
      <w:pPr>
        <w:spacing w:after="0" w:line="34"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4"/>
          </w:tcPr>
          <w:p>
            <w:pPr>
              <w:ind w:left="3900"/>
              <w:spacing w:after="0"/>
              <w:rPr>
                <w:sz w:val="20"/>
                <w:szCs w:val="20"/>
                <w:color w:val="auto"/>
              </w:rPr>
            </w:pPr>
            <w:r>
              <w:rPr>
                <w:rFonts w:ascii="Arial" w:cs="Arial" w:eastAsia="Arial" w:hAnsi="Arial"/>
                <w:sz w:val="18"/>
                <w:szCs w:val="18"/>
                <w:b w:val="1"/>
                <w:bCs w:val="1"/>
                <w:color w:val="auto"/>
              </w:rPr>
              <w:t>CALCULATION OF REGISTRATION FEE</w:t>
            </w:r>
          </w:p>
        </w:tc>
        <w:tc>
          <w:tcPr>
            <w:tcW w:w="3020" w:type="dxa"/>
            <w:vAlign w:val="bottom"/>
          </w:tcPr>
          <w:p>
            <w:pPr>
              <w:spacing w:after="0"/>
              <w:rPr>
                <w:sz w:val="20"/>
                <w:szCs w:val="20"/>
                <w:color w:val="auto"/>
              </w:rPr>
            </w:pPr>
          </w:p>
        </w:tc>
      </w:tr>
      <w:tr>
        <w:trPr>
          <w:trHeight w:val="414"/>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gridSpan w:val="2"/>
          </w:tcPr>
          <w:p>
            <w:pPr>
              <w:ind w:left="740"/>
              <w:spacing w:after="0"/>
              <w:rPr>
                <w:sz w:val="20"/>
                <w:szCs w:val="20"/>
                <w:color w:val="auto"/>
              </w:rPr>
            </w:pPr>
            <w:r>
              <w:rPr>
                <w:rFonts w:ascii="Arial" w:cs="Arial" w:eastAsia="Arial" w:hAnsi="Arial"/>
                <w:sz w:val="18"/>
                <w:szCs w:val="18"/>
                <w:b w:val="1"/>
                <w:bCs w:val="1"/>
                <w:color w:val="auto"/>
              </w:rPr>
              <w:t>Proposed Maximum</w:t>
            </w:r>
          </w:p>
        </w:tc>
        <w:tc>
          <w:tcPr>
            <w:tcW w:w="3020" w:type="dxa"/>
            <w:vAlign w:val="bottom"/>
          </w:tcPr>
          <w:p>
            <w:pPr>
              <w:spacing w:after="0"/>
              <w:rPr>
                <w:sz w:val="24"/>
                <w:szCs w:val="24"/>
                <w:color w:val="auto"/>
              </w:rPr>
            </w:pPr>
          </w:p>
        </w:tc>
      </w:tr>
      <w:tr>
        <w:trPr>
          <w:trHeight w:val="241"/>
        </w:trPr>
        <w:tc>
          <w:tcPr>
            <w:tcW w:w="4740" w:type="dxa"/>
            <w:vAlign w:val="bottom"/>
          </w:tcPr>
          <w:p>
            <w:pPr>
              <w:ind w:left="52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220" w:type="dxa"/>
            <w:vAlign w:val="bottom"/>
          </w:tcPr>
          <w:p>
            <w:pPr>
              <w:spacing w:after="0"/>
              <w:rPr>
                <w:sz w:val="20"/>
                <w:szCs w:val="20"/>
                <w:color w:val="auto"/>
              </w:rPr>
            </w:pPr>
          </w:p>
        </w:tc>
        <w:tc>
          <w:tcPr>
            <w:tcW w:w="3260" w:type="dxa"/>
            <w:vAlign w:val="bottom"/>
            <w:gridSpan w:val="2"/>
          </w:tcPr>
          <w:p>
            <w:pPr>
              <w:ind w:left="760"/>
              <w:spacing w:after="0"/>
              <w:rPr>
                <w:sz w:val="20"/>
                <w:szCs w:val="20"/>
                <w:color w:val="auto"/>
              </w:rPr>
            </w:pPr>
            <w:r>
              <w:rPr>
                <w:rFonts w:ascii="Arial" w:cs="Arial" w:eastAsia="Arial" w:hAnsi="Arial"/>
                <w:sz w:val="18"/>
                <w:szCs w:val="18"/>
                <w:b w:val="1"/>
                <w:bCs w:val="1"/>
                <w:color w:val="auto"/>
              </w:rPr>
              <w:t>Offering Price(1)(2)</w:t>
            </w:r>
          </w:p>
        </w:tc>
        <w:tc>
          <w:tcPr>
            <w:tcW w:w="3020" w:type="dxa"/>
            <w:vAlign w:val="bottom"/>
          </w:tcPr>
          <w:p>
            <w:pPr>
              <w:jc w:val="right"/>
              <w:ind w:right="358"/>
              <w:spacing w:after="0"/>
              <w:rPr>
                <w:sz w:val="20"/>
                <w:szCs w:val="20"/>
                <w:color w:val="auto"/>
              </w:rPr>
            </w:pPr>
            <w:r>
              <w:rPr>
                <w:rFonts w:ascii="Arial" w:cs="Arial" w:eastAsia="Arial" w:hAnsi="Arial"/>
                <w:sz w:val="18"/>
                <w:szCs w:val="18"/>
                <w:b w:val="1"/>
                <w:bCs w:val="1"/>
                <w:color w:val="auto"/>
              </w:rPr>
              <w:t>Amount of Registration Fee</w:t>
            </w:r>
          </w:p>
        </w:tc>
      </w:tr>
      <w:tr>
        <w:trPr>
          <w:trHeight w:val="216"/>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jc w:val="right"/>
              <w:ind w:right="28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jc w:val="right"/>
              <w:ind w:right="2858"/>
              <w:spacing w:after="0"/>
              <w:rPr>
                <w:sz w:val="20"/>
                <w:szCs w:val="20"/>
                <w:color w:val="auto"/>
              </w:rPr>
            </w:pPr>
            <w:r>
              <w:rPr>
                <w:rFonts w:ascii="Arial" w:cs="Arial" w:eastAsia="Arial" w:hAnsi="Arial"/>
                <w:sz w:val="15"/>
                <w:szCs w:val="15"/>
                <w:color w:val="auto"/>
                <w:w w:val="71"/>
              </w:rPr>
              <w:t>$</w:t>
            </w:r>
          </w:p>
        </w:tc>
      </w:tr>
    </w:tbl>
    <w:p>
      <w:pPr>
        <w:spacing w:after="0" w:line="20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that may be sold if the underwriters’ option to purchase additional shares is exercised.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purposes of calculating the registration fee in accordance with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firstLine="259"/>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27875" cy="1350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1350010"/>
                    </a:xfrm>
                    <a:prstGeom prst="rect">
                      <a:avLst/>
                    </a:prstGeom>
                    <a:noFill/>
                  </pic:spPr>
                </pic:pic>
              </a:graphicData>
            </a:graphic>
          </wp:anchor>
        </w:drawing>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ind w:left="100" w:right="100" w:firstLine="259"/>
        <w:spacing w:after="0" w:line="273" w:lineRule="auto"/>
        <w:rPr>
          <w:sz w:val="20"/>
          <w:szCs w:val="20"/>
          <w:color w:val="auto"/>
        </w:rPr>
      </w:pPr>
      <w:r>
        <w:rPr>
          <w:rFonts w:ascii="Arial" w:cs="Arial" w:eastAsia="Arial" w:hAnsi="Arial"/>
          <w:sz w:val="17"/>
          <w:szCs w:val="17"/>
          <w:b w:val="1"/>
          <w:bCs w:val="1"/>
          <w:color w:val="auto"/>
        </w:rPr>
        <w:t>Motorsport Gaming US LLC, the registrant whose name appears on the cover of this registration statement, is a Florida limited liability company. Prior to the closing of this offering, Motorsport Gaming US LLC intends to convert into a Delaware corporation pursuant to a statutory conversion and change its name to Motorsport Games Inc. As a result of the corporate conversion, the sole holder of 100% of the membership interests of Motorsport Gaming US LLC will become a holder of Class A common stock and Class B common stock of Motorsport Games Inc. See “Business—Corporate Conversion.” Except as disclosed in the accompanying prospectus, the consolidated financial statements and selected historical consolidated financial data and other financial information included in this registration statement are those of Motorsport Gaming US LLC and do not give effect to the corporate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176"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FF0000"/>
              </w:rPr>
              <w:t>SUBJECT TO COMPLETION, DATED</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FF0000"/>
              </w:rPr>
              <w:t>, 2020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154305</wp:posOffset>
            </wp:positionV>
            <wp:extent cx="354901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90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firstLine="389"/>
        <w:spacing w:after="0" w:line="287" w:lineRule="auto"/>
        <w:rPr>
          <w:sz w:val="20"/>
          <w:szCs w:val="20"/>
          <w:color w:val="auto"/>
        </w:rPr>
      </w:pPr>
      <w:r>
        <w:rPr>
          <w:rFonts w:ascii="Arial" w:cs="Arial" w:eastAsia="Arial" w:hAnsi="Arial"/>
          <w:sz w:val="16"/>
          <w:szCs w:val="16"/>
          <w:color w:val="auto"/>
        </w:rPr>
        <w:t>This is an initial public offering of shares of Class A common stock of Motorsport Games Inc. We currently operate as a Florida limited liability company under the name Motorsport Gaming US LLC. Prior to the closing of this offering, we intend to convert into a Delaware corporation pursuant to a statutory conversion and change our name to Motorsport Games Inc. This is our initial public offering and no public market currently exists for shares of</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Class A common stock. We anticipate that the initial public offering price will be between $ and $ per share. We intend to apply to have our Class A common stock listed on the Nasdaq Capital Market under the symbol “MSGM.”</w:t>
      </w:r>
    </w:p>
    <w:p>
      <w:pPr>
        <w:spacing w:after="0" w:line="18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Following this offering, we will have two classes of common stock: Class A common stock and Class B common stock. Each share of Class A common stock is entitled to one vote, while each share of Class B common stock is entitled to ten votes. Motorsport Network, LLC (“Motorsport Network”) will be the only holder of shares of Class B common stock and will not have any transfer, conversion, registration or economic rights with respect to such shares of Class B common stock.</w:t>
      </w:r>
    </w:p>
    <w:p>
      <w:pPr>
        <w:spacing w:after="0" w:line="187"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Immediately prior to the closing of this offering, Motorsport Network will be our only stockholder. Upon our corporate conversion, we expect to issue to Motorsport Network an equal number of shares of both Class A common stock (the “MSN Initial Class A Shares”) and Class B common stock.</w:t>
      </w:r>
    </w:p>
    <w:p>
      <w:pPr>
        <w:spacing w:after="0" w:line="265" w:lineRule="auto"/>
        <w:rPr>
          <w:sz w:val="20"/>
          <w:szCs w:val="20"/>
          <w:color w:val="auto"/>
        </w:rPr>
      </w:pPr>
      <w:r>
        <w:rPr>
          <w:rFonts w:ascii="Arial" w:cs="Arial" w:eastAsia="Arial" w:hAnsi="Arial"/>
          <w:sz w:val="17"/>
          <w:szCs w:val="17"/>
          <w:color w:val="auto"/>
        </w:rPr>
        <w:t>Accordingly, upon the closing of this offering, Motorsport Network will own (i) shares of our Class A common stock and (ii) shares of our Class B common stock, representing all of the outstanding shares of Class B common stock, which together will represent approximately % of the combined voting power of both classes of our common stock outstanding immediately after this offering (or % if the underwriters exercise in full</w:t>
      </w:r>
    </w:p>
    <w:p>
      <w:pPr>
        <w:jc w:val="both"/>
        <w:spacing w:after="0" w:line="255" w:lineRule="auto"/>
        <w:rPr>
          <w:sz w:val="20"/>
          <w:szCs w:val="20"/>
          <w:color w:val="auto"/>
        </w:rPr>
      </w:pPr>
      <w:r>
        <w:rPr>
          <w:rFonts w:ascii="Arial" w:cs="Arial" w:eastAsia="Arial" w:hAnsi="Arial"/>
          <w:sz w:val="18"/>
          <w:szCs w:val="18"/>
          <w:color w:val="auto"/>
        </w:rPr>
        <w:t>their option to purchase additional shares of our Class A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w:t>
      </w:r>
    </w:p>
    <w:p>
      <w:pPr>
        <w:spacing w:after="0" w:line="190"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Upon the closing of this offering, we will be a “controlled company” as defined under the corporate governance rules of The Nasdaq Stock Market LLC (“Nasdaq”). However, we do not currently expect to rely upon the “controlled company” exemptions. See “Principal Stockholders.”</w:t>
      </w:r>
    </w:p>
    <w:p>
      <w:pPr>
        <w:spacing w:after="0" w:line="146" w:lineRule="exact"/>
        <w:rPr>
          <w:sz w:val="20"/>
          <w:szCs w:val="20"/>
          <w:color w:val="auto"/>
        </w:rPr>
      </w:pPr>
    </w:p>
    <w:p>
      <w:pPr>
        <w:jc w:val="both"/>
        <w:ind w:right="20" w:firstLine="389"/>
        <w:spacing w:after="0" w:line="308"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and will be subject to reduced public reporting requirements. This prospectus complies with the requirements that apply to an issuer that is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102235</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79"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Investing in our Class A common stock involves risks. See “Risk Factors” beginning on page 14 to read about factors you should consider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before buying our Class A common stock.</w:t>
            </w:r>
          </w:p>
        </w:tc>
        <w:tc>
          <w:tcPr>
            <w:tcW w:w="1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4"/>
        </w:trPr>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40" w:type="dxa"/>
            <w:vAlign w:val="bottom"/>
          </w:tcPr>
          <w:p>
            <w:pPr>
              <w:jc w:val="right"/>
              <w:ind w:right="458"/>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4"/>
                <w:szCs w:val="24"/>
                <w:color w:val="auto"/>
              </w:rPr>
            </w:pPr>
          </w:p>
        </w:tc>
        <w:tc>
          <w:tcPr>
            <w:tcW w:w="2140" w:type="dxa"/>
            <w:vAlign w:val="bottom"/>
            <w:gridSpan w:val="2"/>
          </w:tcPr>
          <w:p>
            <w:pPr>
              <w:ind w:left="7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40" w:type="dxa"/>
            <w:vAlign w:val="bottom"/>
          </w:tcPr>
          <w:p>
            <w:pPr>
              <w:spacing w:after="0"/>
              <w:rPr>
                <w:sz w:val="18"/>
                <w:szCs w:val="18"/>
                <w:color w:val="auto"/>
              </w:rPr>
            </w:pPr>
          </w:p>
        </w:tc>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7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167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77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4920" w:type="dxa"/>
            <w:vAlign w:val="bottom"/>
            <w:gridSpan w:val="2"/>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b w:val="1"/>
                <w:bCs w:val="1"/>
                <w:color w:val="auto"/>
                <w:vertAlign w:val="superscript"/>
              </w:rPr>
              <w:t>(1)</w:t>
            </w:r>
          </w:p>
        </w:tc>
        <w:tc>
          <w:tcPr>
            <w:tcW w:w="3600" w:type="dxa"/>
            <w:vAlign w:val="bottom"/>
            <w:gridSpan w:val="2"/>
          </w:tcPr>
          <w:p>
            <w:pPr>
              <w:jc w:val="right"/>
              <w:ind w:right="1678"/>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77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r>
      <w:tr>
        <w:trPr>
          <w:trHeight w:val="216"/>
        </w:trPr>
        <w:tc>
          <w:tcPr>
            <w:tcW w:w="34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600" w:type="dxa"/>
            <w:vAlign w:val="bottom"/>
            <w:gridSpan w:val="2"/>
            <w:shd w:val="clear" w:color="auto" w:fill="CCEEFF"/>
          </w:tcPr>
          <w:p>
            <w:pPr>
              <w:jc w:val="right"/>
              <w:ind w:right="1678"/>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77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2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See “Underwriting” for additional information regarding compensation payable to the underwriters.</w:t>
      </w:r>
    </w:p>
    <w:p>
      <w:pPr>
        <w:sectPr>
          <w:pgSz w:w="11900" w:h="16838" w:orient="portrait"/>
          <w:cols w:equalWidth="0" w:num="1">
            <w:col w:w="11240"/>
          </w:cols>
          <w:pgMar w:left="320" w:top="688" w:right="339" w:bottom="416" w:gutter="0" w:footer="0" w:header="0"/>
        </w:sectPr>
      </w:pPr>
    </w:p>
    <w:p>
      <w:pPr>
        <w:spacing w:after="0" w:line="225"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We have granted the underwriters an option for a period of 45 days to purchase up to an additional the initial public offering price less the underwriting discounts and commissions.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from us at</w:t>
      </w:r>
    </w:p>
    <w:p>
      <w:pPr>
        <w:spacing w:after="0" w:line="459" w:lineRule="exact"/>
        <w:rPr>
          <w:sz w:val="20"/>
          <w:szCs w:val="20"/>
          <w:color w:val="auto"/>
        </w:rPr>
      </w:pPr>
    </w:p>
    <w:p>
      <w:pPr>
        <w:sectPr>
          <w:pgSz w:w="11900" w:h="16838" w:orient="portrait"/>
          <w:cols w:equalWidth="0" w:num="2">
            <w:col w:w="7480" w:space="620"/>
            <w:col w:w="3140"/>
          </w:cols>
          <w:pgMar w:left="320" w:top="688" w:right="339" w:bottom="416" w:gutter="0" w:footer="0" w:header="0"/>
          <w:type w:val="continuous"/>
        </w:sectPr>
      </w:pPr>
    </w:p>
    <w:p>
      <w:pPr>
        <w:ind w:right="20" w:firstLine="389"/>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w w:val="94"/>
              </w:rPr>
              <w:t>The underwriters expect to deliver the shares of Class A common stock to purchasers on or about</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The Benchmark Company</w:t>
      </w:r>
    </w:p>
    <w:p>
      <w:pPr>
        <w:spacing w:after="0" w:line="238" w:lineRule="exact"/>
        <w:rPr>
          <w:sz w:val="20"/>
          <w:szCs w:val="20"/>
          <w:color w:val="auto"/>
        </w:rPr>
      </w:pPr>
    </w:p>
    <w:p>
      <w:pPr>
        <w:ind w:left="4540"/>
        <w:spacing w:after="0"/>
        <w:tabs>
          <w:tab w:leader="none" w:pos="618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16"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0" w:type="dxa"/>
            <w:vAlign w:val="bottom"/>
          </w:tcPr>
          <w:p>
            <w:pPr>
              <w:ind w:left="440"/>
              <w:spacing w:after="0"/>
              <w:rPr>
                <w:sz w:val="20"/>
                <w:szCs w:val="20"/>
                <w:color w:val="auto"/>
              </w:rPr>
            </w:pPr>
            <w:r>
              <w:rPr>
                <w:rFonts w:ascii="Arial" w:cs="Arial" w:eastAsia="Arial" w:hAnsi="Arial"/>
                <w:sz w:val="18"/>
                <w:szCs w:val="18"/>
                <w:b w:val="1"/>
                <w:bCs w:val="1"/>
                <w:color w:val="auto"/>
              </w:rPr>
              <w:t>TABLE OF CONTENTS</w:t>
            </w:r>
          </w:p>
        </w:tc>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Prospectus Summary</w:t>
              </w:r>
            </w:hyperlink>
          </w:p>
        </w:tc>
        <w:tc>
          <w:tcPr>
            <w:tcW w:w="1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The Offering</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Summary Historical Consolidated Financial Data</w:t>
              </w:r>
            </w:hyperlink>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Risk Factors</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Cautionary Note Regarding Forward-Looking Statements</w:t>
              </w:r>
            </w:hyperlink>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Use of Proceeds</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Dividend Policy</w:t>
              </w:r>
            </w:hyperlink>
          </w:p>
        </w:tc>
        <w:tc>
          <w:tcPr>
            <w:tcW w:w="1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Capitalization</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w:t>
              </w:r>
              <w:r>
                <w:rPr>
                  <w:rFonts w:ascii="Arial" w:cs="Arial" w:eastAsia="Arial" w:hAnsi="Arial"/>
                  <w:sz w:val="18"/>
                  <w:szCs w:val="18"/>
                  <w:b w:val="1"/>
                  <w:bCs w:val="1"/>
                  <w:u w:val="single" w:color="auto"/>
                  <w:color w:val="0000EE"/>
                </w:rPr>
                <w:t>ilution</w:t>
              </w:r>
            </w:hyperlink>
          </w:p>
        </w:tc>
        <w:tc>
          <w:tcPr>
            <w:tcW w:w="1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Selected Historical Consolidated Financial Data</w:t>
              </w:r>
            </w:hyperlink>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rFonts w:ascii="Arial" w:cs="Arial" w:eastAsia="Arial" w:hAnsi="Arial"/>
                <w:sz w:val="18"/>
                <w:szCs w:val="18"/>
                <w:b w:val="1"/>
                <w:bCs w:val="1"/>
                <w:u w:val="single" w:color="auto"/>
                <w:color w:val="0000EE"/>
                <w:w w:val="91"/>
              </w:rPr>
            </w:pPr>
            <w:hyperlink w:anchor="page59">
              <w:r>
                <w:rPr>
                  <w:rFonts w:ascii="Arial" w:cs="Arial" w:eastAsia="Arial" w:hAnsi="Arial"/>
                  <w:sz w:val="18"/>
                  <w:szCs w:val="18"/>
                  <w:b w:val="1"/>
                  <w:bCs w:val="1"/>
                  <w:u w:val="single" w:color="auto"/>
                  <w:color w:val="0000EE"/>
                  <w:w w:val="91"/>
                </w:rPr>
                <w:t>Management’s Discussion and Analysis of Financial Condition and Results of Operations</w:t>
              </w:r>
            </w:hyperlink>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B</w:t>
              </w:r>
              <w:r>
                <w:rPr>
                  <w:rFonts w:ascii="Arial" w:cs="Arial" w:eastAsia="Arial" w:hAnsi="Arial"/>
                  <w:sz w:val="18"/>
                  <w:szCs w:val="18"/>
                  <w:b w:val="1"/>
                  <w:bCs w:val="1"/>
                  <w:u w:val="single" w:color="auto"/>
                  <w:color w:val="0000EE"/>
                </w:rPr>
                <w:t>usiness</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Management</w:t>
              </w:r>
            </w:hyperlink>
          </w:p>
        </w:tc>
        <w:tc>
          <w:tcPr>
            <w:tcW w:w="1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Executive Compensation</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102">
              <w:r>
                <w:rPr>
                  <w:rFonts w:ascii="Arial" w:cs="Arial" w:eastAsia="Arial" w:hAnsi="Arial"/>
                  <w:sz w:val="18"/>
                  <w:szCs w:val="18"/>
                  <w:b w:val="1"/>
                  <w:bCs w:val="1"/>
                  <w:u w:val="single" w:color="auto"/>
                  <w:color w:val="0000EE"/>
                </w:rPr>
                <w:t>Certain Relationships and Related Party Transactions</w:t>
              </w:r>
            </w:hyperlink>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b w:val="1"/>
                <w:bCs w:val="1"/>
                <w:u w:val="single" w:color="auto"/>
                <w:color w:val="0000EE"/>
              </w:rPr>
            </w:pPr>
            <w:hyperlink w:anchor="page104">
              <w:r>
                <w:rPr>
                  <w:rFonts w:ascii="Arial" w:cs="Arial" w:eastAsia="Arial" w:hAnsi="Arial"/>
                  <w:sz w:val="18"/>
                  <w:szCs w:val="18"/>
                  <w:b w:val="1"/>
                  <w:bCs w:val="1"/>
                  <w:u w:val="single" w:color="auto"/>
                  <w:color w:val="0000EE"/>
                </w:rPr>
                <w:t>Principal Stockholders</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05">
              <w:r>
                <w:rPr>
                  <w:rFonts w:ascii="Arial" w:cs="Arial" w:eastAsia="Arial" w:hAnsi="Arial"/>
                  <w:sz w:val="18"/>
                  <w:szCs w:val="18"/>
                  <w:b w:val="1"/>
                  <w:bCs w:val="1"/>
                  <w:u w:val="single" w:color="auto"/>
                  <w:color w:val="0000EE"/>
                </w:rPr>
                <w:t>Description of Capital Stock</w:t>
              </w:r>
            </w:hyperlink>
          </w:p>
        </w:tc>
        <w:tc>
          <w:tcPr>
            <w:tcW w:w="1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b w:val="1"/>
                <w:bCs w:val="1"/>
                <w:u w:val="single" w:color="auto"/>
                <w:color w:val="0000EE"/>
              </w:rPr>
            </w:pPr>
            <w:hyperlink w:anchor="page109">
              <w:r>
                <w:rPr>
                  <w:rFonts w:ascii="Arial" w:cs="Arial" w:eastAsia="Arial" w:hAnsi="Arial"/>
                  <w:sz w:val="18"/>
                  <w:szCs w:val="18"/>
                  <w:b w:val="1"/>
                  <w:bCs w:val="1"/>
                  <w:u w:val="single" w:color="auto"/>
                  <w:color w:val="0000EE"/>
                </w:rPr>
                <w:t>Shares Eligible For Future Sale</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rFonts w:ascii="Arial" w:cs="Arial" w:eastAsia="Arial" w:hAnsi="Arial"/>
                <w:sz w:val="18"/>
                <w:szCs w:val="18"/>
                <w:b w:val="1"/>
                <w:bCs w:val="1"/>
                <w:u w:val="single" w:color="auto"/>
                <w:color w:val="0000EE"/>
                <w:w w:val="93"/>
              </w:rPr>
            </w:pPr>
            <w:hyperlink w:anchor="page110">
              <w:r>
                <w:rPr>
                  <w:rFonts w:ascii="Arial" w:cs="Arial" w:eastAsia="Arial" w:hAnsi="Arial"/>
                  <w:sz w:val="18"/>
                  <w:szCs w:val="18"/>
                  <w:b w:val="1"/>
                  <w:bCs w:val="1"/>
                  <w:u w:val="single" w:color="auto"/>
                  <w:color w:val="0000EE"/>
                  <w:w w:val="93"/>
                </w:rPr>
                <w:t>Certain Material United States Federal Income Tax Considerations For Non-U.S. Holders</w:t>
              </w:r>
            </w:hyperlink>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b w:val="1"/>
                <w:bCs w:val="1"/>
                <w:u w:val="single" w:color="auto"/>
                <w:color w:val="0000EE"/>
              </w:rPr>
            </w:pPr>
            <w:hyperlink w:anchor="page114">
              <w:r>
                <w:rPr>
                  <w:rFonts w:ascii="Arial" w:cs="Arial" w:eastAsia="Arial" w:hAnsi="Arial"/>
                  <w:sz w:val="18"/>
                  <w:szCs w:val="18"/>
                  <w:b w:val="1"/>
                  <w:bCs w:val="1"/>
                  <w:u w:val="single" w:color="auto"/>
                  <w:color w:val="0000EE"/>
                </w:rPr>
                <w:t>Underwriting</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20">
              <w:r>
                <w:rPr>
                  <w:rFonts w:ascii="Arial" w:cs="Arial" w:eastAsia="Arial" w:hAnsi="Arial"/>
                  <w:sz w:val="18"/>
                  <w:szCs w:val="18"/>
                  <w:b w:val="1"/>
                  <w:bCs w:val="1"/>
                  <w:u w:val="single" w:color="auto"/>
                  <w:color w:val="0000EE"/>
                </w:rPr>
                <w:t>Legal Matters</w:t>
              </w:r>
            </w:hyperlink>
          </w:p>
        </w:tc>
        <w:tc>
          <w:tcPr>
            <w:tcW w:w="1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rFonts w:ascii="Arial" w:cs="Arial" w:eastAsia="Arial" w:hAnsi="Arial"/>
                <w:sz w:val="18"/>
                <w:szCs w:val="18"/>
                <w:b w:val="1"/>
                <w:bCs w:val="1"/>
                <w:u w:val="single" w:color="auto"/>
                <w:color w:val="0000EE"/>
              </w:rPr>
            </w:pPr>
            <w:hyperlink w:anchor="page120">
              <w:r>
                <w:rPr>
                  <w:rFonts w:ascii="Arial" w:cs="Arial" w:eastAsia="Arial" w:hAnsi="Arial"/>
                  <w:sz w:val="18"/>
                  <w:szCs w:val="18"/>
                  <w:b w:val="1"/>
                  <w:bCs w:val="1"/>
                  <w:u w:val="single" w:color="auto"/>
                  <w:color w:val="0000EE"/>
                </w:rPr>
                <w:t>Experts</w:t>
              </w:r>
            </w:hyperlink>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120">
              <w:r>
                <w:rPr>
                  <w:rFonts w:ascii="Arial" w:cs="Arial" w:eastAsia="Arial" w:hAnsi="Arial"/>
                  <w:sz w:val="18"/>
                  <w:szCs w:val="18"/>
                  <w:b w:val="1"/>
                  <w:bCs w:val="1"/>
                  <w:u w:val="single" w:color="auto"/>
                  <w:color w:val="0000EE"/>
                </w:rPr>
                <w:t>Where You Can Find Additional Information</w:t>
              </w:r>
            </w:hyperlink>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I</w:t>
              </w:r>
              <w:r>
                <w:rPr>
                  <w:rFonts w:ascii="Arial" w:cs="Arial" w:eastAsia="Arial" w:hAnsi="Arial"/>
                  <w:sz w:val="18"/>
                  <w:szCs w:val="18"/>
                  <w:b w:val="1"/>
                  <w:bCs w:val="1"/>
                  <w:u w:val="single" w:color="auto"/>
                  <w:color w:val="0000EE"/>
                </w:rPr>
                <w:t>ndex to Financial Statements</w:t>
              </w:r>
            </w:hyperlink>
          </w:p>
        </w:tc>
        <w:tc>
          <w:tcPr>
            <w:tcW w:w="14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F-1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4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2740" w:type="dxa"/>
            <w:vAlign w:val="bottom"/>
          </w:tcPr>
          <w:p>
            <w:pPr>
              <w:ind w:left="400"/>
              <w:spacing w:after="0"/>
              <w:rPr>
                <w:sz w:val="20"/>
                <w:szCs w:val="20"/>
                <w:color w:val="auto"/>
              </w:rPr>
            </w:pPr>
            <w:r>
              <w:rPr>
                <w:rFonts w:ascii="Arial" w:cs="Arial" w:eastAsia="Arial" w:hAnsi="Arial"/>
                <w:sz w:val="18"/>
                <w:szCs w:val="18"/>
                <w:b w:val="1"/>
                <w:bCs w:val="1"/>
                <w:color w:val="auto"/>
              </w:rPr>
              <w:t>Through and including</w:t>
            </w:r>
          </w:p>
        </w:tc>
        <w:tc>
          <w:tcPr>
            <w:tcW w:w="85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2"/>
              </w:rPr>
              <w:t>, 2020 (the 25</w:t>
            </w:r>
            <w:r>
              <w:rPr>
                <w:rFonts w:ascii="Arial" w:cs="Arial" w:eastAsia="Arial" w:hAnsi="Arial"/>
                <w:sz w:val="29"/>
                <w:szCs w:val="29"/>
                <w:b w:val="1"/>
                <w:bCs w:val="1"/>
                <w:color w:val="auto"/>
                <w:w w:val="92"/>
                <w:vertAlign w:val="superscript"/>
              </w:rPr>
              <w:t>th</w:t>
            </w:r>
            <w:r>
              <w:rPr>
                <w:rFonts w:ascii="Arial" w:cs="Arial" w:eastAsia="Arial" w:hAnsi="Arial"/>
                <w:sz w:val="18"/>
                <w:szCs w:val="18"/>
                <w:b w:val="1"/>
                <w:bCs w:val="1"/>
                <w:color w:val="auto"/>
                <w:w w:val="92"/>
              </w:rPr>
              <w:t xml:space="preserve"> day after the date of this prospectus), all dealers that buy, sell, or trade shares of our Class</w:t>
            </w:r>
          </w:p>
        </w:tc>
        <w:tc>
          <w:tcPr>
            <w:tcW w:w="0" w:type="dxa"/>
            <w:vAlign w:val="bottom"/>
          </w:tcPr>
          <w:p>
            <w:pPr>
              <w:spacing w:after="0"/>
              <w:rPr>
                <w:sz w:val="1"/>
                <w:szCs w:val="1"/>
                <w:color w:val="auto"/>
              </w:rPr>
            </w:pPr>
          </w:p>
        </w:tc>
      </w:tr>
    </w:tbl>
    <w:p>
      <w:pPr>
        <w:jc w:val="both"/>
        <w:spacing w:after="0" w:line="254" w:lineRule="auto"/>
        <w:rPr>
          <w:sz w:val="20"/>
          <w:szCs w:val="20"/>
          <w:color w:val="auto"/>
        </w:rPr>
      </w:pPr>
      <w:r>
        <w:rPr>
          <w:rFonts w:ascii="Arial" w:cs="Arial" w:eastAsia="Arial" w:hAnsi="Arial"/>
          <w:sz w:val="18"/>
          <w:szCs w:val="18"/>
          <w:b w:val="1"/>
          <w:bCs w:val="1"/>
          <w:color w:val="auto"/>
        </w:rPr>
        <w:t>A common stock, whether or not participating in our initial public offering, may be required to deliver a prospectus. This delivery requirement is in addition to the obligation of dealers to deliver a prospectus when acting as underwriter and with respect to its unsold allotments or subscriptions.</w:t>
      </w:r>
    </w:p>
    <w:p>
      <w:pPr>
        <w:spacing w:after="0" w:line="191"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Neither we nor the underwriters have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92"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the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this offering and the possession and distribution of this prospectus outside of the United States.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Unless otherwise indicated, information in this prospectus concerning economic conditions, our industry, our markets and our competitive position is based on a variety of sources, including information from independent industry analysts and publications, as well as our own estimates and research.</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estimates are derived from publicly available information released by third party sources, as well as data from our internal research, and are based on such data and our knowledge of our industry, which we believe to be reasonable. The independent industry publications used in this prospectus were not prepared on our behalf. While we are not aware of any misstatements regarding any information presented in this prospectus, forecasts, assumptions, expectations, beliefs, estimates and projects involve risk and uncertainties and are subject to change based on various factors, including those described under the headings “Cautionary Note Regarding Forward-Looking Statements” and “Risk Factors.”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own or have rights to trademarks, service marks and trade names that we use in connection with the operation of our business. Other trademarks, service marks and trade names appearing in this prospectus are the property of their respective owners. Solely for convenience, some of the</w:t>
      </w:r>
    </w:p>
    <w:p>
      <w:pPr>
        <w:jc w:val="both"/>
        <w:spacing w:after="0" w:line="209" w:lineRule="auto"/>
        <w:rPr>
          <w:sz w:val="20"/>
          <w:szCs w:val="20"/>
          <w:color w:val="auto"/>
        </w:rPr>
      </w:pPr>
      <w:r>
        <w:rPr>
          <w:rFonts w:ascii="Arial" w:cs="Arial" w:eastAsia="Arial" w:hAnsi="Arial"/>
          <w:sz w:val="18"/>
          <w:szCs w:val="18"/>
          <w:color w:val="auto"/>
        </w:rPr>
        <w:t xml:space="preserve">trademarks, service marks and trade names referred to in this prospectus are listed without the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or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Motorsport Gaming US LLC’s acquisition of a 53.5% equity interest in 704Games Company on August 14, 2018, Motorsport Gaming US LLC was the acquirer for accounting purposes and 704Games Company was the acquiree and the accounting predecessor. The financial statement presentation contained in this prospectus distinguishes the results into two distinct periods: the period up to the acquisition date of August 14, 2018 for 704Games Company, which we refer to as the “Predecessor Period,” and the periods including and after that date for Motorsport Gaming US LLC, which we refer to as the “Successor Period.”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this offering, we intend to complete a corporate conversion pursuant to which Motorsport Games Inc. will succeed to the business of Motorsport Gaming US LLC and its consolidated subsidiaries, and the sole holder of 100% of the membership interests of Motorsport Gaming US LLC will become a holder of Class A common stock and Class B common stock of Motorsport Games Inc., as described under the heading “Business —Corporate Conversion.” In this prospectus, we refer to this transaction as the “corporate conversion.” We expect that our conversion from a Florida limited liability company to a Delaware corporation will not have a material effect on our consolidated financial statements at the time of the corporate conversion.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 them.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476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Class A common stock and should carefully consider, among other things, our consolidated financial statements and the related notes and the sections entitled “Risk Factors,” “Management’s Discussion and Analysis of Financial Condition and Results of Operations” and “Business” included elsewhere in this prospectus. Unless the context requires otherwise, references in this prospectus to the “Company,” “Motorsport Games,” “we,” “us” and “our” refer to Motorsport Games Inc., a Delaware corporation, and its consolidated subsidiaries.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Motorsport Games is a leading racing game developer, publisher and esports ecosystem provider of official motorsport racing series throughout the world, including NASCAR, the iconic 24 Hours of Le Mans endurance race (“Le Mans”) and the associated World Endurance Championship (the “WEC”), the British Touring Car Championship (the “BTCC”) and others. Through the support of our sole member, Motorsport Network, LLC (“Motorsport Network”), the largest global media company in the motorsport industry, Motorsport Games’ corporate mission is to create the preeminent motorsport gaming and esports entertainment ecosystem by delivering the highest quality, most sophisticated and innovative experiences for racers, gamers and fans of all ages. Our products and services target a large and underserved global motorsport audience. For 2019, Liberty Media Corporation (“Liberty Media”) estimates that the total global Formula 1 television audience reached 471 million unique viewers. Further, Le Mans estimates its total reach was approximately 100 million homes worldwide in 2019, while NASCAR reached approximately 475 million households in 2019 and the BTCC reached approximately 62 million households in 2019.</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Started in 2018 as a wholly-owned subsidiary of the Motorsport Network, Motorsport Games is currently the official developer and publisher of the NASCAR video game franchise and has obtained, or is in the process of obtaining, the exclusive licenses to develop multi-platform games for Le Mans and the BTCC. We develop and publish multi-platform racing video games including for game consoles, personal computer (PC) and mobile platforms through various retail and digital channels, including full-game and downloadable content (sometimes known as “games-as-a-service”). Since our formation, our NASCAR video games have sold over one million copies for game consoles and PCs.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With a projected 2.6 billion total mobile gamers globally for 2020 according to data from NewZoo, an industry source for games market insight and analytics, we continue to focus on developing and further enhancing our multi-platform games for mobile phones. We believe an important component of scaling our gamers and esports viewers is to offer a suite of official mobile games for each of our various motorsport racing series. Currently, we offer NASCAR Heat Mobile for iOS and Android, which has had approximately five million installs to date, and are in the process of developing two other NASCAR mobile games with projected release dates in 2021. In addition, we have a roadmap for the development of more than a dozen anticipated mobile games, including multiple mobile products for each of our racing series.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striving to become a leader in organizing and facilitating esports tournaments, competitions, and events for our licensed racing games as well as on behalf of third-party racing game developers and publishers. Throughout the first half of 2020, we have facilitated 36 esports events, up from 22 esports events in all of 2019, which have included official esports events for NASCAR, 24 Hours of Le Mans, the Official World Rallycross Esports Championship, FIA Formula E and other race series. The total number of people that have watched our esports events in 2020 to date is approximately 43.3 million, up from a total of approximately 1.3 million viewers throughout 2019.</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connecting virtual racing gamers and esports fans on a digital entertainment and social platform represents the greatest opportunity to enhance the way that people learn, watch, play, and experience racing video games and racing esports. To that end, we are in the process of developing a go-to destination for the virtual racing community, which we internally call APEX. We are designing APEX with the functionality to enable users to run their own esports competitions in a simple, turn-key format, allowing groups to assemble around racing games, leagues, individual ability, and various other metrics. We currently anticipate launching APEX in beta in the first quarter of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931"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750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Company Background</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Motorsport Games was formed in 2018 by Motorsport Network as a wholly-owned subsidiary in connection with the acquisition by Motorsport Games of a controlling interest in 704Games Company (“704Games”), which holds the exclusive license to be the official video game developer and publisher for NASCAR. Simultaneously with the acquisition of 704Games in 2018, we extended the license to be the exclusive video game developer and publisher for NASCAR for 10 years until December 31, 2029, subject to certain limited exceptions. In addition, we have the right to create and organize esports leagues and events for NASCAR. Prior to this offering, Motorsport Games remained a wholly-owned subsidiary of Motorsport Network and, following the completion of this offering, Motorsport Network will continue to be our majority stockholder.</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2018, following the acquisition of 704Games, we acquired the leadership team of Virtually Entertained Limited, a UK-based esports specialist. Subsequently, we entered into an agreement to facilitate the Le Mans Esports Series as part of a joint venture with Automobile Club l’Ouest (“ACO”), the organizer of the 24 Hours of Le Mans endurance race. Through our 45% ownership interest in this joint venture, we are in the process of obtaining the rights to be the exclusive video game developer and publisher for the Le Mans race and the WEC, which the Le Mans race is a part of. In addition, through this joint venture with ACO, we expect to be granted the right to create and organize esports leagues and events for the Le Mans Esports Series, which would continue so long as we have an ownership interest in this joint venture.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2019, Motorsport Network entered into an exclusive partnership with The Codemasters Software Company Limited (“Codemasters”) granting Motorsport Network worldwide rights (excluding China) to organize and manage official DiRT Rally 2.0 World Championship and official GRiD eSport World Championship esports events. Through our relationship with Motorsport Network, we have organized and managed these esports events on behalf of Motorsport Network, including the DiRT World Championship held at Autosport International in January 2020, which attracted a large live crowd on site and audience of more than 75,000 online. In March 2020, we also announced a partnership with Codemasters and International Management Group to create the Official World Rallycross Esports Championship.</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we secured a multi-year licensing agreement to exclusively develop and publish the video games for the BTCC racing series across console, mobile and casual gaming channels. In addition, through this license, we have the right to create and organize esports leagues and events for the BTCC racing series. The agreement expires on December 31, 2026.</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Motorsport Games has offices in Miami and Orlando, Florida and Moscow, Russia.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the broad popularity of racing sports and video games, along with favorable consumer dynamics and strong long-term trends (i.e., ubiquity of mobile devices, widespread acceptance and use of social media and mobile platforms, cloud gaming and video game streaming), together with the lack of a dominant global racing community organizer, present a significant opportunity for us to connect and monetize a large fanbase for motorsports by converting some of this audience into racing gamers and esports participants and spectators.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Global Motorsports Marketplace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that motorsports will increase in popularity across generations of gamers and viewers because of their anticipated enthusiasm for racing games and esports. According to a report published by IndustryARC, the entire motorsports market is expected to reach $30 billion by 2025, which we believe is primarily the result of strong campaigning, broadcasting, social networking, related events, sponsorships and the introduction of advanced technologies by automotive companies. The 2017 acquisition of Formula 1 by Liberty Media and its intent to invest heavily in the promotion of the sport and to create several “Super Bowl-like” events in the United States is anticipated to also lead to an increase in motorsport popularity and attract a burgeoning audience, which we believe will allow us to convert an increasing number of racing fans into gamers and motorsport esports fans. For 2019, Liberty Media estimates that the total global Formula 1 television audience reached 471 million unique viewers. Further, Le Mans estimates its total reach was approximately 100 million homes worldwide in 2019, while NASCAR reached approximately 475 million households in 2019 and the BTCC reached approximately 62 million households in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904" w:right="55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299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7299325"/>
                    </a:xfrm>
                    <a:prstGeom prst="rect">
                      <a:avLst/>
                    </a:prstGeom>
                    <a:noFill/>
                  </pic:spPr>
                </pic:pic>
              </a:graphicData>
            </a:graphic>
          </wp:anchor>
        </w:drawing>
        <w:t>Video Games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Video games have increasingly become one of the leading forms of entertainment on a global scale. The video game industry continues to benefit from powerful demographic shifts as new players enter the market, due in large part to gaming entertainment becoming ubiquitous across all age groups and geographies. In 2020, the Entertainment Software Association reported that within the United States:</w:t>
      </w:r>
    </w:p>
    <w:p>
      <w:pPr>
        <w:spacing w:after="0" w:line="165" w:lineRule="exact"/>
        <w:rPr>
          <w:sz w:val="20"/>
          <w:szCs w:val="20"/>
          <w:color w:val="auto"/>
        </w:rPr>
      </w:pPr>
    </w:p>
    <w:p>
      <w:pPr>
        <w:ind w:left="980" w:hanging="323"/>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there are 214 million video game players, with three quarters of all households having at least one person who plays video games;</w:t>
      </w:r>
    </w:p>
    <w:p>
      <w:pPr>
        <w:spacing w:after="0" w:line="34" w:lineRule="exact"/>
        <w:rPr>
          <w:rFonts w:ascii="Arial" w:cs="Arial" w:eastAsia="Arial" w:hAnsi="Arial"/>
          <w:sz w:val="17"/>
          <w:szCs w:val="17"/>
          <w:color w:val="auto"/>
        </w:rPr>
      </w:pPr>
    </w:p>
    <w:p>
      <w:pPr>
        <w:ind w:left="980" w:hanging="32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64% of all adults and 70% of those under 18 regularly play video games;</w:t>
      </w:r>
    </w:p>
    <w:p>
      <w:pPr>
        <w:spacing w:after="0" w:line="9" w:lineRule="exact"/>
        <w:rPr>
          <w:rFonts w:ascii="Arial" w:cs="Arial" w:eastAsia="Arial" w:hAnsi="Arial"/>
          <w:sz w:val="18"/>
          <w:szCs w:val="18"/>
          <w:color w:val="auto"/>
        </w:rPr>
      </w:pPr>
    </w:p>
    <w:p>
      <w:pPr>
        <w:ind w:left="980" w:hanging="32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average age of video game players is 35 to 44; and</w:t>
      </w:r>
    </w:p>
    <w:p>
      <w:pPr>
        <w:spacing w:after="0" w:line="9" w:lineRule="exact"/>
        <w:rPr>
          <w:rFonts w:ascii="Arial" w:cs="Arial" w:eastAsia="Arial" w:hAnsi="Arial"/>
          <w:sz w:val="18"/>
          <w:szCs w:val="18"/>
          <w:color w:val="auto"/>
        </w:rPr>
      </w:pPr>
    </w:p>
    <w:p>
      <w:pPr>
        <w:ind w:left="980" w:right="20" w:hanging="323"/>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adult video game players spend 6.6 hours per week playing with other gamers online and 4.3 hours per week playing with others in person.</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Additionally, according to NewZoo, there are currently 2.7 billion persons that play video games worldwide who are projected to spend $159.3 billion on video games in 2020, with this number forecasted to surpass $200 billion by 2023. Industry growth is expected to be further strengthened by the release of next generation consoles, with the PlayStation 5 and Xbox Series X scheduled for release in late 2020.</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believe that video games in the racing genre will increase in popularity globally across generations of gamers and viewers because the format benefits from being family-friendly and can appeal to multiple generations. According to the Entertainment Software Association, of the 65% of gamers in the United States who play with others, 31% of them are playing with parents or other family members. Moreover, 26% of males between the ages of 55 and 64 and 50% of females between the ages of 18 and 34 who play video games classified racing games as their favorite genre of games. Additionally, 92% of parents pay attention to the games their children play, and 87% are aware of Entertainment Software Rating Board (ESRB) ratings. Our entire product lineup is currently rated E (Everyone), and we expect our future portfolio of games will also be rated E, thereby increasing the marketability of our products for parents who are conscientious of ratings, when compared to other genres, such as first-person shooter games. We believe these dynamics will help support the continued growth of games in the racing genre, which represented 5.8% of all 2018 video game sales in the United States as reported by Statista.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Mobile Games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Consumers are increasingly using their mobile devices for entertainment, including for playing mobile games. Digital game design in the casual game market has evolved as new game types and business models address expanding gaming audiences. In addition, the widespread adoption of smartphones and the availability of mobile app stores has increased the total accessible audience for gaming experiences, as it allows for gaming to occur more widely outside the home. According to Barclays, mobile gaming is estimated to represent 47% of current industry revenues and is expected to reach 60% by 2025. Further, with a projected 2.6 billion total mobile gamers for 2020 according to data from NewZoo, mobile games are forecasted to generate revenues of $77.2 billion in 2020.</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Esports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popularity of esports continues to grow rapidly, with an engaged and passionate fan base across the globe. According to recent data from NewZoo, the global esports audience is expected to reach 495 million in 2020, up from 395 million in 2018, which would surpass the global audience for many traditional sports. NewZoo also estimates that esports will generate approximately $1.1 billion in global revenues in 2020, a 15.7% increase versus the prior year, which revenue will include approximately 58% from sponsorships, 17% from media rights, 11% from publisher fees and 11% from merchandise and ticketing revenue.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proliferation of new streaming technologies in content distribution has also fueled growth in the popularity and engagement of esports, including the rise of live streaming and over-the-top channels and social networking and interaction within games. For example, according to Streamlabs, consumers viewed over 5 billion hours of content on Twitch and over 1.5 billion hours of content on YouTube Gaming Live during the second quarter of 2020, representing quarter-over-quarter growth of 62.7% and 39.6%,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the popularity of esports is evidenced by the growth of professional esports associations and leagues. According to Greenman Gaming, tournament prize money in esports is increasing at an average of 42% per year, and the number of pro athletes in esports has been growing at a rate of 43% per year since 1998.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908"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296545</wp:posOffset>
            </wp:positionV>
            <wp:extent cx="7127875" cy="7162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Our Competitive Strengths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our founding as a wholly-owned subsidiary of Motorsport Network in 2018, we have been developing our capabilities to be the preeminent motorsport gaming and esports entertainment ecosystem. We believe the following key strengths provide us with a significant competitive advantage to achieve this mission.</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Exclusive licensing and partnership rights that provide unique and defensible access to iconic racing series. </w:t>
      </w:r>
      <w:r>
        <w:rPr>
          <w:rFonts w:ascii="Arial" w:cs="Arial" w:eastAsia="Arial" w:hAnsi="Arial"/>
          <w:sz w:val="16"/>
          <w:szCs w:val="16"/>
          <w:color w:val="auto"/>
        </w:rPr>
        <w:t>Our video game licensing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esports portfolio generally provides us exclusive and defensible rights to some of the most prestigious and popular global racing brands, providing for a large and growing core audience of fans to purchase and participate in our growing product and services portfolio. Specifically:</w:t>
      </w:r>
    </w:p>
    <w:p>
      <w:pPr>
        <w:spacing w:after="0" w:line="149" w:lineRule="exact"/>
        <w:rPr>
          <w:sz w:val="20"/>
          <w:szCs w:val="20"/>
          <w:color w:val="auto"/>
        </w:rPr>
      </w:pPr>
    </w:p>
    <w:p>
      <w:pPr>
        <w:jc w:val="both"/>
        <w:ind w:left="980" w:hanging="323"/>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our acquisition of 704Games in 2018, we obtained the license to be the exclusive video game developer and publisher for NASCAR, subject to certain limited exceptions. In addition, we have the right to create and organize esports leagues and events for NASCAR. Our current license arrangement with NASCAR, which was extended 10 years simultaneously with the acquisition of 704Games, expires on December 31, 2029.</w:t>
      </w:r>
    </w:p>
    <w:p>
      <w:pPr>
        <w:spacing w:after="0" w:line="186" w:lineRule="exact"/>
        <w:rPr>
          <w:rFonts w:ascii="Arial" w:cs="Arial" w:eastAsia="Arial" w:hAnsi="Arial"/>
          <w:sz w:val="18"/>
          <w:szCs w:val="18"/>
          <w:color w:val="auto"/>
        </w:rPr>
      </w:pPr>
    </w:p>
    <w:p>
      <w:pPr>
        <w:jc w:val="both"/>
        <w:ind w:left="980" w:hanging="323"/>
        <w:spacing w:after="0" w:line="296"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March 2019, we established a joint venture with ACO, the organizer of the iconic 24 Hours of Le Mans endurance race. Through this joint venture, we are in the process of obtaining the rights to be the exclusive video game developer and publisher for the Le Mans race and the WEC. Once granted, we anticipate this license would expire ten years beginning from the date of our first release of a Le Mans video gaming product. In addition, through this joint venture with ACO, we expect to be granted the right to create and organize esports leagues and events for the Le Mans Esports Series, which would continue so long as we have an ownership interest in this joint venture.</w:t>
      </w:r>
    </w:p>
    <w:p>
      <w:pPr>
        <w:spacing w:after="0" w:line="161" w:lineRule="exact"/>
        <w:rPr>
          <w:rFonts w:ascii="Arial" w:cs="Arial" w:eastAsia="Arial" w:hAnsi="Arial"/>
          <w:sz w:val="16"/>
          <w:szCs w:val="16"/>
          <w:color w:val="auto"/>
        </w:rPr>
      </w:pPr>
    </w:p>
    <w:p>
      <w:pPr>
        <w:jc w:val="both"/>
        <w:ind w:left="980" w:right="20" w:hanging="323"/>
        <w:spacing w:after="0" w:line="31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May 2020, we secured a multi-year licensing agreement to exclusively develop and publish the video games for the BTCC racing series across console, mobile and casual gaming channels. In addition, through this license, we have the right to create and organize esports leagues and events for the BTCC racing series. Our current license with the BTCC expires on December 31, 2026.</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Portfolio of quality racing games developed by an experienced in-house development team specializing in racing games. </w:t>
      </w:r>
      <w:r>
        <w:rPr>
          <w:rFonts w:ascii="Arial" w:cs="Arial" w:eastAsia="Arial" w:hAnsi="Arial"/>
          <w:sz w:val="17"/>
          <w:szCs w:val="17"/>
          <w:color w:val="auto"/>
        </w:rPr>
        <w:t>Since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founding, we have invested in our in-house development team and have developed a portfolio of quality racing games for various platforms (PC, console, handheld and mobile). Our experienced development team consisting of over 50 employees specializes in racing games and has a deep understanding of games in this genre. This includes the crucial development of car physics, tracks, tire models, general racing rules and other components that are found across racing games. This specialization serves as a scalable foundation for the development of future racing games in our portfolio, which we believe also allows us to utilize the best available methods and technologies to help achieve higher quality products through an efficient development process. In turn, this allows us to more effectively control game development and in-game updates along with reducing the time and costs of developing and launching new games. Our development team serves as the strong cornerstone for the development of our future virtual racing franchises, particularly as we progress towards launching our next generation of NASCAR games on our proprietary racing-focused gaming engine, which we refer to as the “MSG Engine.”</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Strategic alliance and support from Motorsport Network, including access to a vast target audience. </w:t>
      </w:r>
      <w:r>
        <w:rPr>
          <w:rFonts w:ascii="Arial" w:cs="Arial" w:eastAsia="Arial" w:hAnsi="Arial"/>
          <w:sz w:val="17"/>
          <w:szCs w:val="17"/>
          <w:color w:val="auto"/>
        </w:rPr>
        <w:t>Motorsport Network is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motorsport and automotive data-driven digital platform that owns and operates a collection of valuable digital media motorsport and automotive brands. As of July 2020, Motorsport Network had over 55 million unique visitors generating over 326 million monthly page views on its flagship platforms, including motorsport.com, autosport.com and motor1.com, and access to approximately 126 million viewing profiles that Motorsport Network has captured over the prior six months. Approximately 200 leading journalists and trusted experts in the world are creating daily content that seeks to capture and retain user attention through comprehensive distribution channels for Motorsport Network. Pursuant to an agreement with Motorsport Network, we have digital access rights to this audience to enable us to market, communicate, and engage with them regarding our games and esports series. We believe this access to a large, highly engaged and affluent target audience with an active lifestyle and passion for motorsports and automobiles creates strong engagement and distribution channel opportunities for our products and services. In addition, our strategic alliance and relationship with Motorsport Network uniquely provides us the ability to leverage the broad industry relationships and market clout of Motorsport Network, particularly due to its vast audience and reach. It is this relationship with Motorsport Network that we believe helped us to secure our current joint ventures, game development and/or esports related rights for various racing series, including for NASCAR, Le Mans and the BTCC.</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904" w:right="55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296545</wp:posOffset>
            </wp:positionV>
            <wp:extent cx="7127875" cy="8259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8259445"/>
                    </a:xfrm>
                    <a:prstGeom prst="rect">
                      <a:avLst/>
                    </a:prstGeom>
                    <a:noFill/>
                  </pic:spPr>
                </pic:pic>
              </a:graphicData>
            </a:graphic>
          </wp:anchor>
        </w:drawing>
        <w:t xml:space="preserve">Experienced game and technology-focused management team. </w:t>
      </w:r>
      <w:r>
        <w:rPr>
          <w:rFonts w:ascii="Arial" w:cs="Arial" w:eastAsia="Arial" w:hAnsi="Arial"/>
          <w:sz w:val="17"/>
          <w:szCs w:val="17"/>
          <w:color w:val="auto"/>
        </w:rPr>
        <w:t>Our senior management team has developed extensive experience across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 range of disciplines in the gaming, esports and racing industries, including through prior roles at Codemasters, Electronic Arts, Sega, NaturalMotion, Sony and Motorsport Network. With an average of approximately 18 years of experience in these industries, including at public companies, our senior management team has strong creative and operational experience and a successful track record. For example, certain members of our management core team participated in the development and publishing of the official Formula 1 game franchise, as well as many other successful game titles, such as DiRT Rally and Forza Horizon. Further, prior to joining us, the majority of our senior management team have successfully worked together in the past, including our Chief Executive Officer and Chief Financial Officer, who have previously teamed together while serving as President and Chief Financial Officer, respectively, at a prior public company. This extensive experience extends beyond our senior management team and deep into our organization. We pair traditional games veterans with non-traditional expertise to push how games are customarily developed, published and operated.</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The existing users of our console and mobile games, when combined with our officially licensed esports initiatives, joint ventures and the anticipated launch of APEX, cultivate a reinforcing flywheel of content that will enhance our offerings and grow our audience for future products and services. </w:t>
      </w:r>
      <w:r>
        <w:rPr>
          <w:rFonts w:ascii="Arial" w:cs="Arial" w:eastAsia="Arial" w:hAnsi="Arial"/>
          <w:sz w:val="17"/>
          <w:szCs w:val="17"/>
          <w:color w:val="auto"/>
        </w:rPr>
        <w:t>Given our track record and management team, we believe we are well positioned to continually create innovative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reinforcing gaming products that generate user excitement and naturally foster a competitive camaraderie amongst gamers. By harvesting the reinforcing nature of our product portfolio and the competition our products drive in our users, we believe we will be able to propel user engagement on APEX, our platform for the virtual racing community that we expect to launch in beta in the first quarter of 2021, and will increasingly be able to produce successful esports events centered around our popular licensed racing series. As a sign of the momentum we are generating, we had over 43 million viewers of our esports events in 2020 to date, which enabled us to prominently display and reinforce our branding with the racing community. This includes the largest event in virtual racing history, the Le Mans 24 Virtual held in June 2020, which we produced. We also have entered into a joint venture with an affiliate of the Race Team Alliance (“RTA”), an organization consisting of 13 NASCAR Cup Series teams, to develop the eNASCAR Heat Pro League (the “eNHPL”). The RTA teams include the eNHPL and NASCARHeat.com logos on the contingency space on each of their NASCAR Cup Series vehicles for a number of NASCAR events, leading to increased awareness about the eNHPL through this unique promotional channel. We believe these milestones and achievements, combined with the current users of our console and mobile games and our access to the vast audience of Motorsport Network, uniquely positions us to be the preeminent motorsport gaming and esports entertainment ecosystem.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mission is to create the preeminent motorsport gaming and esports entertainment ecosystem by delivering the highest quality, most sophisticated and innovative experiences for racers, gamers and fans of all ages. We believe we have put in place a solid foundation to achieve this mission since our founding in 2018, including each of our strengths listed above. To continue to build on this foundation and our growing momentum, we plan to focus on the following four key strategies:</w:t>
      </w:r>
    </w:p>
    <w:p>
      <w:pPr>
        <w:spacing w:after="0" w:line="187" w:lineRule="exact"/>
        <w:rPr>
          <w:sz w:val="20"/>
          <w:szCs w:val="20"/>
          <w:color w:val="auto"/>
        </w:rPr>
      </w:pPr>
    </w:p>
    <w:p>
      <w:pPr>
        <w:ind w:left="980" w:hanging="32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enhance the depth and breadth of our industry-leading motorsport gaming product portfolio</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2018, we, through our subsidiary 704Games, extended our license as the official video game developer and publisher for NASCAR through the end of 2029. To maximize the potential of the NASCAR gaming franchise, we have made significant investments in both technology and human talent to create a best-in-class racing game experience. In 2021, we plan to introduce a new generation NASCAR console game, offering fans of the sport and racing a “AAA” comparable game that will provide the most authentic and engaging experience possible. This new game has been internally built from the ground up on our new proprietary racing-focused MSG Engine and will utilize Unreal Engine’s game engine, paired with the latest car physics and other components. The Unreal Engine is widely recognized within the industry and has been utilized in many notable games, such as </w:t>
      </w:r>
      <w:r>
        <w:rPr>
          <w:rFonts w:ascii="Arial" w:cs="Arial" w:eastAsia="Arial" w:hAnsi="Arial"/>
          <w:sz w:val="16"/>
          <w:szCs w:val="16"/>
          <w:i w:val="1"/>
          <w:iCs w:val="1"/>
          <w:color w:val="auto"/>
        </w:rPr>
        <w:t>Borderlands 3, Fortnite Battle Royale, Gears 5, MotoGP 18, PlayerUnknown’s Battlegrounds</w:t>
      </w:r>
      <w:r>
        <w:rPr>
          <w:rFonts w:ascii="Arial" w:cs="Arial" w:eastAsia="Arial" w:hAnsi="Arial"/>
          <w:sz w:val="16"/>
          <w:szCs w:val="16"/>
          <w:color w:val="auto"/>
        </w:rPr>
        <w:t xml:space="preserve"> and many others.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conjunction with the launch of our new NASCAR console game, we plan to launch a new, redesigned NASCAR Heat Mobile in 2021, which is our NASCAR mobile racing game that will also be developed internally. Given the recent popularity and fast growing nature of the branded casual game experience, we also plan to introduce a slate of NASCAR branded casual gaming options, starting with the officially licensed NASCAR “match three” game in 2021. In addition, we have a roadmap for the development of more than a dozen anticipated mobile games, including multiple mobile products for each of our racing series.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Combined with exclusive licenses and unique partnerships with iconic motorsport brands, we aspire to control the majority of the motorsport virtual racing segment to develop, publish, market, and distribute our games and organize unique esports events to help promote such games. We have been in discussions with numerous internationally recognized racing series license holders to develop video games and esports based upon their intellectual property, including using the same technology that will power the new generation of our NASCAR console game, as well as our anticipated upcoming games for the Le Mans and BTCC racing series. For any new additional motorsport series with which we partner, we believe our new proprietary racing-focused game engine will allow us to quickly and cost effectively produce new, modern games (building on our existing game technology and know-how with such new series) and market it through existing distribution channels.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908" w:right="559" w:bottom="1440" w:gutter="0" w:footer="0" w:header="0"/>
        </w:sectPr>
      </w:pPr>
    </w:p>
    <w:bookmarkStart w:id="10" w:name="page11"/>
    <w:bookmarkEnd w:id="10"/>
    <w:p>
      <w:pPr>
        <w:ind w:left="980" w:hanging="323"/>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297180</wp:posOffset>
            </wp:positionV>
            <wp:extent cx="7127875" cy="7985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7985125"/>
                    </a:xfrm>
                    <a:prstGeom prst="rect">
                      <a:avLst/>
                    </a:prstGeom>
                    <a:noFill/>
                  </pic:spPr>
                </pic:pic>
              </a:graphicData>
            </a:graphic>
          </wp:anchor>
        </w:drawing>
        <w:t>Invest and harness the power of technology to focus on digital delivery and mobile platforms with interactive social engagement</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Driven by fast and convenient digital delivery, the widespread use of mobile devices and mobile games, and the ease of streaming and cloud computing, players increasingly purchase our games digitally or spend time playing our games on mobile devices. Downloadable-extra content and microtransactions have higher profit margins than traditional retail one-time sales of games and offer meaningful ways of generating revenues in free-to-play games and create monetization capabilities of existing games beyond the initial game purchase. Increasing opportunities for players to interact and socialize among peers around esports make games a major social outlet for players, which helps to develop a relationship between our game content and consumers, and provides higher margins and greater revenue visibility relative to prior years when revenues were dependent on the original game purchase.</w:t>
      </w:r>
    </w:p>
    <w:p>
      <w:pPr>
        <w:spacing w:after="0" w:line="195" w:lineRule="exact"/>
        <w:rPr>
          <w:sz w:val="20"/>
          <w:szCs w:val="20"/>
          <w:color w:val="auto"/>
        </w:rPr>
      </w:pPr>
    </w:p>
    <w:p>
      <w:pPr>
        <w:ind w:left="980" w:right="20" w:hanging="323"/>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develop a full competitive esports ecosystem alongside franchise properties and a new gaming community on our APEX platform</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Underpinning our growth strategy is the integration between our licensed video game properties and our fully built-out esports platform and capabilities. As we continue to add to our existing portfolio of games centered around popular licensed racing series, this will provide us the opportunity to further grow our esports business by having more titles to produce our esports events. Further, by cultivating a vibrant and growing viewer and gamer community on APEX, we aim to build an easily accessible audience, which we believe will further drive interest for our future games and esports events. Ultimately, we believe this will allow us to not only reach and appeal to a larger audience, but to turn gamers into esports participants and vice versa by providing functionality to encourage and incentivize players of all abilities and skill levels to take part and compete online, which increases their level of engagement with our licensed gaming products and services. As our portfolio of official race franchise games grows, we also plan to launch a direct-to-customer subscription model that will allow privileged access to this portfolio of products as well as other loyalty perks. We have also grown, and expect to continue to grow, our esports business by using our esports platform to host and organize other motorsport tournaments and events on behalf of third-party video game license holders.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this goal of cultivating a gaming community in mind, we are in the process of developing and building APEX, our esports “as a service” platform for our virtual racing community. We are designing APEX with the functionality to enable users to customize and run their own esports competitions in a simple, turn-key format, allowing groups to form around specific games, consoles, individual ability, and various other metrics. We plan to drive further user engagement and enhance the participant experience by providing players and fans with facts and statistics from particular racing games to give definitive performance and ability benchmarks. We currently anticipate launching APEX in beta in the first quarter of 2021.</w:t>
      </w:r>
    </w:p>
    <w:p>
      <w:pPr>
        <w:spacing w:after="0" w:line="192" w:lineRule="exact"/>
        <w:rPr>
          <w:sz w:val="20"/>
          <w:szCs w:val="20"/>
          <w:color w:val="auto"/>
        </w:rPr>
      </w:pPr>
    </w:p>
    <w:p>
      <w:pPr>
        <w:ind w:left="980" w:hanging="32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Further leverage our strategic alliance and support with Motorsport Network</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Utilizing the unique global reach, broad industry relationships and market clout of Motorsport Network, we plan to further leverage this strategic alliance with Motorsport Network with the goal of adding more game development and esports related rights for racing series in addition to the iconic NASCAR, Le Mans and BTCC titles to which we have already obtained, or are in the process of obtaining, licensing rights. As of July 2020, Motorsport Network had over 55 million unique visitors generating over 326 million monthly page views on its flagship platforms, including motorsport.com, autosport.com and motor1.com. Motorsport.com and Autosport.com are the largest online global motorsport content producers, offering around-the-clock news and analysis services in 22 editions and 17 languages. Additionally, we believe that being backed by the largest global media company in the motorsport industry that targets the same audience with different but related content provides us with a unique advantage in our industry, which will allow us to engage racing fans globally, attract new active participants, and deliver differentiated and proprietary content and experiences.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Participating in this offering involves substantial risk. Our ability to execute our strategy is also subject to certain risks. The risks described under the heading “Risk Factors” included elsewhere in this prospectus, among others, may cause us to be unable to successfully execute all or part of our strategy. Some of the most significant challenges and risks include the following:</w:t>
      </w:r>
    </w:p>
    <w:p>
      <w:pPr>
        <w:spacing w:after="0" w:line="184" w:lineRule="exact"/>
        <w:rPr>
          <w:sz w:val="20"/>
          <w:szCs w:val="20"/>
          <w:color w:val="auto"/>
        </w:rPr>
      </w:pPr>
    </w:p>
    <w:p>
      <w:pPr>
        <w:ind w:left="980" w:hanging="323"/>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do not consistently deliver popular products or if consumers prefer competing products, our business may be negatively impacted.</w:t>
      </w:r>
    </w:p>
    <w:p>
      <w:pPr>
        <w:spacing w:after="0" w:line="248" w:lineRule="exact"/>
        <w:rPr>
          <w:rFonts w:ascii="Arial" w:cs="Arial" w:eastAsia="Arial" w:hAnsi="Arial"/>
          <w:sz w:val="16"/>
          <w:szCs w:val="16"/>
          <w:color w:val="auto"/>
        </w:rPr>
      </w:pPr>
    </w:p>
    <w:p>
      <w:pPr>
        <w:ind w:left="980" w:right="20" w:hanging="323"/>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and products are highly concentrated in the racing game genre, and our operating results may suffer if consumer preferences shift away from this genre.</w:t>
      </w:r>
    </w:p>
    <w:p>
      <w:pPr>
        <w:spacing w:after="0" w:line="170" w:lineRule="exact"/>
        <w:rPr>
          <w:rFonts w:ascii="Arial" w:cs="Arial" w:eastAsia="Arial" w:hAnsi="Arial"/>
          <w:sz w:val="18"/>
          <w:szCs w:val="18"/>
          <w:color w:val="auto"/>
        </w:rPr>
      </w:pPr>
    </w:p>
    <w:p>
      <w:pPr>
        <w:ind w:left="980" w:hanging="32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do not provide high-quality products in a timely manner, our business may be negatively impacted.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908" w:right="559" w:bottom="1440" w:gutter="0" w:footer="0" w:header="0"/>
        </w:sectPr>
      </w:pPr>
    </w:p>
    <w:bookmarkStart w:id="11" w:name="page12"/>
    <w:bookmarkEnd w:id="11"/>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297180</wp:posOffset>
            </wp:positionV>
            <wp:extent cx="7127875" cy="10042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10042525"/>
                    </a:xfrm>
                    <a:prstGeom prst="rect">
                      <a:avLst/>
                    </a:prstGeom>
                    <a:noFill/>
                  </pic:spPr>
                </pic:pic>
              </a:graphicData>
            </a:graphic>
          </wp:anchor>
        </w:drawing>
      </w:r>
    </w:p>
    <w:p>
      <w:pPr>
        <w:ind w:left="980" w:right="2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recent coronavirus (“COVID-19”) pandemic has impacted our operations and could adversely affect our business operations, financial performance and results of operations, the extent of which is uncertain and difficult to predict.</w:t>
      </w:r>
    </w:p>
    <w:p>
      <w:pPr>
        <w:spacing w:after="0" w:line="170" w:lineRule="exact"/>
        <w:rPr>
          <w:rFonts w:ascii="Arial" w:cs="Arial" w:eastAsia="Arial" w:hAnsi="Arial"/>
          <w:sz w:val="18"/>
          <w:szCs w:val="18"/>
          <w:color w:val="auto"/>
        </w:rPr>
      </w:pPr>
    </w:p>
    <w:p>
      <w:pPr>
        <w:ind w:left="98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Declines in consumer spending and other adverse changes in the economy could have a material adverse effect on our business, financial condition and operating results.</w:t>
      </w:r>
    </w:p>
    <w:p>
      <w:pPr>
        <w:spacing w:after="0" w:line="170" w:lineRule="exact"/>
        <w:rPr>
          <w:rFonts w:ascii="Arial" w:cs="Arial" w:eastAsia="Arial" w:hAnsi="Arial"/>
          <w:sz w:val="18"/>
          <w:szCs w:val="18"/>
          <w:color w:val="auto"/>
        </w:rPr>
      </w:pPr>
    </w:p>
    <w:p>
      <w:pPr>
        <w:ind w:left="980" w:hanging="32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a relatively small number of franchises for a significant portion of our revenues and profits.</w:t>
      </w:r>
    </w:p>
    <w:p>
      <w:pPr>
        <w:spacing w:after="0" w:line="225"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acquire and maintain licenses to intellectual property, especially for sports titles, affects our revenue and profitability. Competition for these licenses may make them more expensive and increase our costs.</w:t>
      </w:r>
    </w:p>
    <w:p>
      <w:pPr>
        <w:spacing w:after="0" w:line="170" w:lineRule="exact"/>
        <w:rPr>
          <w:rFonts w:ascii="Arial" w:cs="Arial" w:eastAsia="Arial" w:hAnsi="Arial"/>
          <w:sz w:val="18"/>
          <w:szCs w:val="18"/>
          <w:color w:val="auto"/>
        </w:rPr>
      </w:pPr>
    </w:p>
    <w:p>
      <w:pPr>
        <w:ind w:left="980" w:hanging="32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importance of retail sales to our business exposes us to the risks of that business model.</w:t>
      </w:r>
    </w:p>
    <w:p>
      <w:pPr>
        <w:spacing w:after="0" w:line="225" w:lineRule="exact"/>
        <w:rPr>
          <w:rFonts w:ascii="Arial" w:cs="Arial" w:eastAsia="Arial" w:hAnsi="Arial"/>
          <w:sz w:val="18"/>
          <w:szCs w:val="18"/>
          <w:color w:val="auto"/>
        </w:rPr>
      </w:pPr>
    </w:p>
    <w:p>
      <w:pPr>
        <w:ind w:left="980" w:right="20" w:hanging="323"/>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primarily depend on a single third-party distribution partner to distribute our games for the retail channel, and our ability to negotiate favorable terms with such partner and its continued willingness to purchase our games is critical for our business.</w:t>
      </w:r>
    </w:p>
    <w:p>
      <w:pPr>
        <w:spacing w:after="0" w:line="146" w:lineRule="exact"/>
        <w:rPr>
          <w:rFonts w:ascii="Arial" w:cs="Arial" w:eastAsia="Arial" w:hAnsi="Arial"/>
          <w:sz w:val="17"/>
          <w:szCs w:val="17"/>
          <w:color w:val="auto"/>
        </w:rPr>
      </w:pPr>
    </w:p>
    <w:p>
      <w:pPr>
        <w:ind w:left="980" w:right="20" w:hanging="323"/>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plan to continue to generate a portion of our revenues from advertising and sponsorship during our esports events. If we fail to attract more advertisers and sponsors to our gaming platform, tournaments or competitions, our revenues may be adversely affected.</w:t>
      </w:r>
    </w:p>
    <w:p>
      <w:pPr>
        <w:spacing w:after="0" w:line="123" w:lineRule="exact"/>
        <w:rPr>
          <w:rFonts w:ascii="Arial" w:cs="Arial" w:eastAsia="Arial" w:hAnsi="Arial"/>
          <w:sz w:val="16"/>
          <w:szCs w:val="16"/>
          <w:color w:val="auto"/>
        </w:rPr>
      </w:pPr>
    </w:p>
    <w:p>
      <w:pPr>
        <w:ind w:left="980" w:right="2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reliant on the retention of certain key personnel and the hiring of strategically valuable personnel, and we may lose or be unable to hire one or more of such personnel.</w:t>
      </w:r>
    </w:p>
    <w:p>
      <w:pPr>
        <w:spacing w:after="0" w:line="170" w:lineRule="exact"/>
        <w:rPr>
          <w:rFonts w:ascii="Arial" w:cs="Arial" w:eastAsia="Arial" w:hAnsi="Arial"/>
          <w:sz w:val="18"/>
          <w:szCs w:val="18"/>
          <w:color w:val="auto"/>
        </w:rPr>
      </w:pPr>
    </w:p>
    <w:p>
      <w:pPr>
        <w:ind w:left="980" w:hanging="32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business relies heavily on our marketing and branding efforts, and these efforts may not be successful.</w:t>
      </w:r>
    </w:p>
    <w:p>
      <w:pPr>
        <w:spacing w:after="0" w:line="225"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do not adequately address the shift to mobile device technology by our customers, operating results could be harmed and our growth could be negatively affected.</w:t>
      </w:r>
    </w:p>
    <w:p>
      <w:pPr>
        <w:spacing w:after="0" w:line="170"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adequately protect our intellectual property, technology and confidential information could harm our business and operating results.</w:t>
      </w:r>
    </w:p>
    <w:p>
      <w:pPr>
        <w:spacing w:after="0" w:line="170"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Motorsport Network controls the direction of our business and its ownership of our Class A common stock and Class B common stock will prevent you and other stockholders from influencing significant decisions.</w:t>
      </w:r>
    </w:p>
    <w:p>
      <w:pPr>
        <w:spacing w:after="0" w:line="170" w:lineRule="exact"/>
        <w:rPr>
          <w:rFonts w:ascii="Arial" w:cs="Arial" w:eastAsia="Arial" w:hAnsi="Arial"/>
          <w:sz w:val="18"/>
          <w:szCs w:val="18"/>
          <w:color w:val="auto"/>
        </w:rPr>
      </w:pPr>
    </w:p>
    <w:p>
      <w:pPr>
        <w:ind w:left="98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 longer controlled by or affiliated with Motorsport Network, we may be unable to continue to benefit from that relationship, which may adversely affect our operations and have a material adverse effect on us.</w:t>
      </w:r>
    </w:p>
    <w:p>
      <w:pPr>
        <w:spacing w:after="0" w:line="170" w:lineRule="exact"/>
        <w:rPr>
          <w:rFonts w:ascii="Arial" w:cs="Arial" w:eastAsia="Arial" w:hAnsi="Arial"/>
          <w:sz w:val="18"/>
          <w:szCs w:val="18"/>
          <w:color w:val="auto"/>
        </w:rPr>
      </w:pPr>
    </w:p>
    <w:p>
      <w:pPr>
        <w:ind w:left="980" w:hanging="32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may continue to experience losses in the future.</w:t>
      </w:r>
    </w:p>
    <w:p>
      <w:pPr>
        <w:spacing w:after="0" w:line="225"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operating history makes it difficult to evaluate our current business and future prospects, and we may not be able to effectively grow our business or implement our business strategies.</w:t>
      </w:r>
    </w:p>
    <w:p>
      <w:pPr>
        <w:spacing w:after="0" w:line="170"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an emerging growth company and a smaller reporting company, and we cannot be certain if the reduced disclosure requirements applicable to us will make our Class A common stock less attractive to investors.</w:t>
      </w:r>
    </w:p>
    <w:p>
      <w:pPr>
        <w:spacing w:after="0" w:line="170" w:lineRule="exact"/>
        <w:rPr>
          <w:rFonts w:ascii="Arial" w:cs="Arial" w:eastAsia="Arial" w:hAnsi="Arial"/>
          <w:sz w:val="18"/>
          <w:szCs w:val="18"/>
          <w:color w:val="auto"/>
        </w:rPr>
      </w:pPr>
    </w:p>
    <w:p>
      <w:pPr>
        <w:ind w:left="980" w:hanging="32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dual class structure of our common stock may adversely affect the trading market for our Class A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(the “JOBS Act”), under the rules and regulations of the Securities and Exchange Commission (the “SEC”). An emerging growth company may take advantage of specified reduced reporting and other requirements that are otherwise applicable generally to public companies. These provisions include:</w:t>
      </w:r>
    </w:p>
    <w:p>
      <w:pPr>
        <w:spacing w:after="0" w:line="187" w:lineRule="exact"/>
        <w:rPr>
          <w:sz w:val="20"/>
          <w:szCs w:val="20"/>
          <w:color w:val="auto"/>
        </w:rPr>
      </w:pPr>
    </w:p>
    <w:p>
      <w:pPr>
        <w:ind w:left="980" w:right="20" w:hanging="323"/>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management’s discussion and analysis of financial condition and results of operations disclosure;</w:t>
      </w:r>
    </w:p>
    <w:p>
      <w:pPr>
        <w:spacing w:after="0" w:line="170" w:lineRule="exact"/>
        <w:rPr>
          <w:rFonts w:ascii="Arial" w:cs="Arial" w:eastAsia="Arial" w:hAnsi="Arial"/>
          <w:sz w:val="18"/>
          <w:szCs w:val="18"/>
          <w:color w:val="auto"/>
        </w:rPr>
      </w:pPr>
    </w:p>
    <w:p>
      <w:pPr>
        <w:ind w:left="980" w:hanging="32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under Item 402 of Regulation S-K;</w:t>
      </w:r>
    </w:p>
    <w:p>
      <w:pPr>
        <w:spacing w:after="0" w:line="225" w:lineRule="exact"/>
        <w:rPr>
          <w:rFonts w:ascii="Arial" w:cs="Arial" w:eastAsia="Arial" w:hAnsi="Arial"/>
          <w:sz w:val="18"/>
          <w:szCs w:val="18"/>
          <w:color w:val="auto"/>
        </w:rPr>
      </w:pPr>
    </w:p>
    <w:p>
      <w:pPr>
        <w:ind w:left="980" w:hanging="32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requirement for non-binding advisory votes on executive compensation or golden parachute arrangements; and</w:t>
      </w:r>
    </w:p>
    <w:p>
      <w:pPr>
        <w:spacing w:after="0" w:line="225"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internal control over financial reporting pursuant to the Sarbanes-Oxley Act of 2002.</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take advantage of these provisions until the end of the fiscal year in which the fifth anniversary of this offering occurs, or such earlier time that we no longer qualify as an emerging growth company. In future years, we will cease to be an emerging growth company if we have $1.07 billion in annual revenue or more, become a “large accelerated filer” as defined in Rule 12b-2 under the Securities Exchange Act of 1934, as amended (the “Exchange Act”), or issue more than $1.0 billion of non-convertible debt securities over a three-year period. We may choose to take advantage of some but not all of these reduced requirements. Even after we no longer qualify as an emerging growth company, we may still qualify as a “smaller reporting company,” which would allow us to take advantage of many of the same exemptions from disclosure requirements discussed above.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95" w:orient="portrait"/>
          <w:cols w:equalWidth="0" w:num="1">
            <w:col w:w="10800"/>
          </w:cols>
          <w:pgMar w:left="540" w:top="908" w:right="559" w:bottom="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both"/>
        <w:ind w:firstLine="64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297180</wp:posOffset>
            </wp:positionV>
            <wp:extent cx="7127875" cy="6887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We have elected to take advantage of some of the reduced disclosure obligations regarding financial statements and executive compensation in this prospectus and may elect to take advantage of other reduced requirements in future filings. As a result, the information we provide to our stockholders may be different than you might receive from other public reporting companies in which you hold equity interests.</w:t>
      </w:r>
    </w:p>
    <w:p>
      <w:pPr>
        <w:spacing w:after="0" w:line="16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JOBS Act permits an emerging growth company, like us, to take advantage of an extended transition period to comply with new or revised accounting standards applicable to public companies. We are choosing to take advantage of this provision and, as a result, we will not be required to comply with new or revised accounting standards until those standards would otherwise apply to private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Conversion and Organizational Structure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operate as a Florida limited liability company under the name Motorsport Gaming US LLC. Prior to the closing of this offering, Motorsport Gaming US LLC will be converted into a Delaware corporation pursuant to a statutory conversion and change its name to Motorsport Games Inc. In order to consummate the corporate conversion, a certificate of conversion will be filed with the Secretary of State of the State of Delaware.</w:t>
      </w:r>
    </w:p>
    <w:p>
      <w:pPr>
        <w:spacing w:after="0" w:line="187" w:lineRule="exact"/>
        <w:rPr>
          <w:sz w:val="20"/>
          <w:szCs w:val="20"/>
          <w:color w:val="auto"/>
        </w:rPr>
      </w:pPr>
    </w:p>
    <w:p>
      <w:pPr>
        <w:jc w:val="right"/>
        <w:spacing w:after="0" w:line="283" w:lineRule="auto"/>
        <w:rPr>
          <w:sz w:val="20"/>
          <w:szCs w:val="20"/>
          <w:color w:val="auto"/>
        </w:rPr>
      </w:pPr>
      <w:r>
        <w:rPr>
          <w:rFonts w:ascii="Arial" w:cs="Arial" w:eastAsia="Arial" w:hAnsi="Arial"/>
          <w:sz w:val="16"/>
          <w:szCs w:val="16"/>
          <w:color w:val="auto"/>
        </w:rPr>
        <w:t>Following and effective upon the consummation of the corporate conversion, 100% of the membership interests currently held by the Company’s sole member, Motorsport Network, will convert into an aggregate of (i)   shares of Class A common stock, based upon the value of the Company at the time of this offering with a value implied by the offering price of the shares of Class A common stock sold in this offering, and (ii) shares of Class B common stock, representing all of the outstanding shares of Class B common stock. Motorsport Network will be the only holder of shares of our Class B common stock and will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Motorsport Network will be adjusted in equal proportions for any stock dividend, stock split or similar transaction undertaken by the Company.</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corporate conversion, Motorsport Games Inc. will hold all property and assets of Motorsport Gaming US LLC, and all of the debts and obligations of Motorsport Gaming US LLC will become the debts and obligations of Motorsport Games Inc. by operation of law. Motorsport Games Inc. will be governed by a certificate of incorporation filed with the Delaware Secretary of State and bylaws, the material portions of each of which are described under the heading “Description of Capital Stock.”</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effective date of the corporate conversion, the members of the board of managers of Motorsport Gaming US LLC will become the members of Motorsport Games Inc.’s board of directors, and the officers of Motorsport Gaming US LLC will become the officers of Motorsport Games Inc.</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the corporate conversion is to reorganize our corporate structure so that the entity that is offering the Class A common stock to the offerees in this offering is a corporation rather than a limited liability company and so that our existing investor, Motorsport Network, will own our Class A common stock and our Class B common stock rather than membership interests in a limited liability company. References in this prospectus to our capitalization and other matters pertaining to our equity, membership interests or shares prior to the corporate conversion relate to the capitalization, equity and membership interests of Motorsport Gaming US LLC, and after the corporate conversion, to the capitalization, equity and shares of Motorsport Games Inc.</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consolidated financial statements included elsewhere in this prospectus are those of Motorsport Gaming US LLC and its subsidiaries. We expect that our conversion from a Florida limited liability company to a Delaware corporation will not have a material effect on our consolidated financial statements at the time of such conversion.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diagram below depicts our expected organizational structure upon completion of this offering and the corporate conversion.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908" w:right="5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4735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7875" cy="473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Motorsport Gaming US LLC was formed in Florida in August 2018. Prior to the closing of this offering, we intend to complete a corporate conversion pursuant to which Motorsport Games Inc. will succeed to the business of Motorsport Gaming US LLC and its consolidated subsidiaries, and the sole holder of 100% of the membership interests of Motorsport Gaming US LLC will become a holder of Class A common stock and Class B common stock of Motorsport Games Inc. See “—Corporate Conversion and Organizational Structure.” Our principal executive offices are located at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5972 NE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Miami, FL 33137, and our telephone number is (305) 507-8799. Our website address is </w:t>
      </w:r>
      <w:r>
        <w:rPr>
          <w:rFonts w:ascii="Arial" w:cs="Arial" w:eastAsia="Arial" w:hAnsi="Arial"/>
          <w:sz w:val="18"/>
          <w:szCs w:val="18"/>
          <w:i w:val="1"/>
          <w:iCs w:val="1"/>
          <w:color w:val="auto"/>
        </w:rPr>
        <w:t>motorsportgames.com</w:t>
      </w:r>
      <w:r>
        <w:rPr>
          <w:rFonts w:ascii="Arial" w:cs="Arial" w:eastAsia="Arial" w:hAnsi="Arial"/>
          <w:sz w:val="18"/>
          <w:szCs w:val="18"/>
          <w:color w:val="auto"/>
        </w:rPr>
        <w:t>. Our website and the information contained therein or connected thereto shall not be deemed to be incorporated into this prospectus or the registration statement of which it forms a part.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1440" w:right="559" w:bottom="1440" w:gutter="0" w:footer="0" w:header="0"/>
        </w:sectPr>
      </w:pPr>
    </w:p>
    <w:bookmarkStart w:id="15" w:name="page16"/>
    <w:bookmarkEnd w:id="1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297180</wp:posOffset>
            </wp:positionV>
            <wp:extent cx="7127875" cy="10307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7875" cy="103073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THE OFFERING</w:t>
      </w:r>
    </w:p>
    <w:p>
      <w:pPr>
        <w:sectPr>
          <w:pgSz w:w="11900" w:h="16882" w:orient="portrait"/>
          <w:cols w:equalWidth="0" w:num="1">
            <w:col w:w="10800"/>
          </w:cols>
          <w:pgMar w:left="540" w:top="904" w:right="55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Underwriters’ option to purchase additional shares of Class A common stock from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Class A common stock to be outstanding after this offering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Total Class B common stock to be outstanding after this offering</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Proposed trading symbol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Motorsport Games Inc., a Delaware corporation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 xml:space="preserve">shares </w:t>
      </w:r>
      <w:r>
        <w:rPr>
          <w:rFonts w:ascii="Arial" w:cs="Arial" w:eastAsia="Arial" w:hAnsi="Arial"/>
          <w:sz w:val="18"/>
          <w:szCs w:val="18"/>
          <w:color w:val="auto"/>
          <w:highlight w:val="white"/>
        </w:rPr>
        <w:t>(</w:t>
      </w:r>
      <w:r>
        <w:rPr>
          <w:sz w:val="20"/>
          <w:szCs w:val="20"/>
          <w:color w:val="auto"/>
        </w:rPr>
        <w:tab/>
      </w:r>
      <w:r>
        <w:rPr>
          <w:rFonts w:ascii="Arial" w:cs="Arial" w:eastAsia="Arial" w:hAnsi="Arial"/>
          <w:sz w:val="16"/>
          <w:szCs w:val="16"/>
          <w:color w:val="auto"/>
        </w:rPr>
        <w:t xml:space="preserve">shares </w:t>
      </w:r>
      <w:r>
        <w:rPr>
          <w:rFonts w:ascii="Arial" w:cs="Arial" w:eastAsia="Arial" w:hAnsi="Arial"/>
          <w:sz w:val="16"/>
          <w:szCs w:val="16"/>
          <w:color w:val="auto"/>
          <w:highlight w:val="white"/>
        </w:rPr>
        <w:t>if the option to purchase additional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shares from us is exercised in full)</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18"/>
          <w:szCs w:val="18"/>
          <w:color w:val="auto"/>
        </w:rPr>
        <w:t xml:space="preserve">shares </w:t>
      </w:r>
      <w:r>
        <w:rPr>
          <w:rFonts w:ascii="Arial" w:cs="Arial" w:eastAsia="Arial" w:hAnsi="Arial"/>
          <w:sz w:val="18"/>
          <w:szCs w:val="18"/>
          <w:color w:val="auto"/>
          <w:highlight w:val="white"/>
        </w:rPr>
        <w:t>(</w:t>
      </w:r>
      <w:r>
        <w:rPr>
          <w:sz w:val="20"/>
          <w:szCs w:val="20"/>
          <w:color w:val="auto"/>
        </w:rPr>
        <w:tab/>
      </w:r>
      <w:r>
        <w:rPr>
          <w:rFonts w:ascii="Arial" w:cs="Arial" w:eastAsia="Arial" w:hAnsi="Arial"/>
          <w:sz w:val="16"/>
          <w:szCs w:val="16"/>
          <w:color w:val="auto"/>
        </w:rPr>
        <w:t xml:space="preserve">shares </w:t>
      </w:r>
      <w:r>
        <w:rPr>
          <w:rFonts w:ascii="Arial" w:cs="Arial" w:eastAsia="Arial" w:hAnsi="Arial"/>
          <w:sz w:val="16"/>
          <w:szCs w:val="16"/>
          <w:color w:val="auto"/>
          <w:highlight w:val="white"/>
        </w:rPr>
        <w:t>if the option to purchase additional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shares from us is exercised in full)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our net proceeds from the sale of our Class A common</w:t>
      </w:r>
    </w:p>
    <w:p>
      <w:pPr>
        <w:spacing w:after="0" w:line="46"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stock that we are offering will be approximately $</w:t>
      </w:r>
      <w:r>
        <w:rPr>
          <w:sz w:val="20"/>
          <w:szCs w:val="20"/>
          <w:color w:val="auto"/>
        </w:rPr>
        <w:tab/>
      </w:r>
      <w:r>
        <w:rPr>
          <w:rFonts w:ascii="Arial" w:cs="Arial" w:eastAsia="Arial" w:hAnsi="Arial"/>
          <w:sz w:val="17"/>
          <w:szCs w:val="17"/>
          <w:color w:val="auto"/>
        </w:rPr>
        <w:t xml:space="preserve">million </w:t>
      </w:r>
      <w:r>
        <w:rPr>
          <w:rFonts w:ascii="Arial" w:cs="Arial" w:eastAsia="Arial" w:hAnsi="Arial"/>
          <w:sz w:val="17"/>
          <w:szCs w:val="17"/>
          <w:color w:val="auto"/>
          <w:highlight w:val="white"/>
        </w:rPr>
        <w:t>(or</w:t>
      </w:r>
    </w:p>
    <w:p>
      <w:pPr>
        <w:spacing w:after="0" w:line="9"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if the underwriters’ option to purchase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highlight w:val="white"/>
        </w:rPr>
        <w:t>additional shares of our Class A common stock from us is exercised 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20"/>
                <w:szCs w:val="20"/>
                <w:color w:val="auto"/>
              </w:rPr>
            </w:pPr>
            <w:r>
              <w:rPr>
                <w:rFonts w:ascii="Arial" w:cs="Arial" w:eastAsia="Arial" w:hAnsi="Arial"/>
                <w:sz w:val="18"/>
                <w:szCs w:val="18"/>
                <w:color w:val="auto"/>
                <w:highlight w:val="white"/>
              </w:rPr>
              <w:t>full)</w:t>
            </w:r>
            <w:r>
              <w:rPr>
                <w:rFonts w:ascii="Arial" w:cs="Arial" w:eastAsia="Arial" w:hAnsi="Arial"/>
                <w:sz w:val="18"/>
                <w:szCs w:val="18"/>
                <w:color w:val="auto"/>
              </w:rPr>
              <w:t>, assuming an initial public offering price of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per share,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which is the midpoint of the price range on the cover page of</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this</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w w:val="95"/>
              </w:rPr>
              <w:t>prospectus, and after deducting estimated underwriting discounts</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and</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w w:val="90"/>
              </w:rPr>
              <w:t>commissions and estimated offering expenses payable by us.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intend to use the net proceeds from this offering for working capital and general corporate purposes, including product development, such as for mobile products and additional racing series, the buildout of APEX, our go-to destination for the virtual racing community, the development of our proprietary racing-focused gaming engine, which we refer to as the “MSG Engine,” sales and marketing activities and capital expenditures. See “Use of Proceeds” for additional information.</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this offering, we will have two classes of common stock: Class A common stock and Class B common stock. Class A common stock will be entitled to one vote per share and Class B common stock will be entitled to ten votes per share.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Holders of Class A common stock and Class B common stock will generally vote together as a single class, unless otherwise required by law or our certificate of incorporation that will be in effect on the completion of this offering. Upon the closing of this offering, Motorsport</w:t>
      </w:r>
    </w:p>
    <w:p>
      <w:pPr>
        <w:spacing w:after="0" w:line="1" w:lineRule="exact"/>
        <w:rPr>
          <w:sz w:val="20"/>
          <w:szCs w:val="20"/>
          <w:color w:val="auto"/>
        </w:rPr>
      </w:pPr>
    </w:p>
    <w:p>
      <w:pPr>
        <w:jc w:val="right"/>
        <w:spacing w:after="0" w:line="250" w:lineRule="auto"/>
        <w:rPr>
          <w:sz w:val="20"/>
          <w:szCs w:val="20"/>
          <w:color w:val="auto"/>
        </w:rPr>
      </w:pPr>
      <w:r>
        <w:rPr>
          <w:rFonts w:ascii="Arial" w:cs="Arial" w:eastAsia="Arial" w:hAnsi="Arial"/>
          <w:sz w:val="18"/>
          <w:szCs w:val="18"/>
          <w:color w:val="auto"/>
        </w:rPr>
        <w:t>Network will own (i)      shares of our Class A common stock and (ii) shares of our Class B common stock, representing all of the outstanding shares of Class B common stock, which together will</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represent approximately % of the combined voting power of both classes of our common stock outstanding immediately after this offering</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(or % if the underwriters exercise in full their option to purchase additional shares of our Class A common stock). As a result, Motorsport Network will have the ability to control the outcome of matters submitted to our stockholders for approval, including the election of our directors and the approval of any change in control transaction.</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Motorsport Network will be the only holder of shares of our Class B common stock and will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See the sections titled “Principal Stockholders” and “Description of Capital Stock” for additional information.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“Risk Factors” to read about factors you should consider before buying shares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“MSGM”</w:t>
      </w:r>
    </w:p>
    <w:p>
      <w:pPr>
        <w:spacing w:after="0" w:line="200" w:lineRule="exact"/>
        <w:rPr>
          <w:sz w:val="20"/>
          <w:szCs w:val="20"/>
          <w:color w:val="auto"/>
        </w:rPr>
      </w:pPr>
    </w:p>
    <w:p>
      <w:pPr>
        <w:sectPr>
          <w:pgSz w:w="11900" w:h="16882" w:orient="portrait"/>
          <w:cols w:equalWidth="0" w:num="2">
            <w:col w:w="5300" w:space="220"/>
            <w:col w:w="5280"/>
          </w:cols>
          <w:pgMar w:left="540" w:top="904" w:right="559" w:bottom="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shares of our Class A common stock and Class B common stock to be outstanding immediately after this offering is based on</w:t>
      </w:r>
    </w:p>
    <w:p>
      <w:pPr>
        <w:spacing w:after="0" w:line="46" w:lineRule="exact"/>
        <w:rPr>
          <w:sz w:val="20"/>
          <w:szCs w:val="20"/>
          <w:color w:val="auto"/>
        </w:rPr>
      </w:pPr>
    </w:p>
    <w:p>
      <w:pPr>
        <w:ind w:left="640"/>
        <w:spacing w:after="0"/>
        <w:tabs>
          <w:tab w:leader="none" w:pos="4260" w:val="left"/>
          <w:tab w:leader="none" w:pos="8860" w:val="left"/>
        </w:tabs>
        <w:rPr>
          <w:sz w:val="20"/>
          <w:szCs w:val="20"/>
          <w:color w:val="auto"/>
        </w:rPr>
      </w:pP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8"/>
          <w:szCs w:val="18"/>
          <w:color w:val="auto"/>
        </w:rPr>
        <w:t>shares of our Class B common stock outstanding as of</w:t>
      </w:r>
      <w:r>
        <w:rPr>
          <w:sz w:val="20"/>
          <w:szCs w:val="20"/>
          <w:color w:val="auto"/>
        </w:rPr>
        <w:tab/>
      </w:r>
      <w:r>
        <w:rPr>
          <w:rFonts w:ascii="Arial" w:cs="Arial" w:eastAsia="Arial" w:hAnsi="Arial"/>
          <w:sz w:val="16"/>
          <w:szCs w:val="16"/>
          <w:color w:val="auto"/>
        </w:rPr>
        <w:t>, 2020 (as adjusted to give</w:t>
      </w:r>
    </w:p>
    <w:p>
      <w:pPr>
        <w:sectPr>
          <w:pgSz w:w="11900" w:h="16882" w:orient="portrait"/>
          <w:cols w:equalWidth="0" w:num="1">
            <w:col w:w="10800"/>
          </w:cols>
          <w:pgMar w:left="540" w:top="904" w:right="559" w:bottom="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effect to the corporate conversion), and excludes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-121920</wp:posOffset>
            </wp:positionV>
            <wp:extent cx="7127875" cy="4952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7875" cy="4952365"/>
                    </a:xfrm>
                    <a:prstGeom prst="rect">
                      <a:avLst/>
                    </a:prstGeom>
                    <a:noFill/>
                  </pic:spPr>
                </pic:pic>
              </a:graphicData>
            </a:graphic>
          </wp:anchor>
        </w:drawing>
      </w:r>
    </w:p>
    <w:p>
      <w:pPr>
        <w:spacing w:after="0" w:line="205" w:lineRule="exact"/>
        <w:rPr>
          <w:sz w:val="20"/>
          <w:szCs w:val="20"/>
          <w:color w:val="auto"/>
        </w:rPr>
      </w:pPr>
    </w:p>
    <w:p>
      <w:pPr>
        <w:jc w:val="both"/>
        <w:ind w:left="980" w:hanging="323"/>
        <w:spacing w:after="0" w:line="257" w:lineRule="auto"/>
        <w:tabs>
          <w:tab w:leader="none" w:pos="16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Class A common stock issuable upon exercise of stock options that will be granted to certain of our employees and our non-employee directors in connection with this offering under the Motorsport Games Inc. 2020 Equity Incentive Plan (the “2020 Plan”), which we expect will become effective immediately prior to the consummation of this offering, at an exercise price per share equal to the initial public offering price in this offering (see “Executive Compensation—Actions Taken in Connection with This Offering”);</w:t>
      </w:r>
    </w:p>
    <w:p>
      <w:pPr>
        <w:spacing w:after="0" w:line="187" w:lineRule="exact"/>
        <w:rPr>
          <w:rFonts w:ascii="Arial" w:cs="Arial" w:eastAsia="Arial" w:hAnsi="Arial"/>
          <w:sz w:val="18"/>
          <w:szCs w:val="18"/>
          <w:color w:val="auto"/>
        </w:rPr>
      </w:pPr>
    </w:p>
    <w:p>
      <w:pPr>
        <w:jc w:val="both"/>
        <w:ind w:left="980" w:hanging="323"/>
        <w:spacing w:after="0" w:line="301" w:lineRule="auto"/>
        <w:tabs>
          <w:tab w:leader="none" w:pos="17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shares of our Class A common stock to be issued to Francesco Piovanetti, a member of our board of directors, in connection with this offering under the 2020 Plan and for his continuing service as </w:t>
      </w:r>
      <w:r>
        <w:rPr>
          <w:rFonts w:ascii="Arial" w:cs="Arial" w:eastAsia="Arial" w:hAnsi="Arial"/>
          <w:sz w:val="16"/>
          <w:szCs w:val="16"/>
          <w:color w:val="auto"/>
          <w:highlight w:val="white"/>
        </w:rPr>
        <w:t>chair of our audit committee</w:t>
      </w:r>
      <w:r>
        <w:rPr>
          <w:rFonts w:ascii="Arial" w:cs="Arial" w:eastAsia="Arial" w:hAnsi="Arial"/>
          <w:sz w:val="16"/>
          <w:szCs w:val="16"/>
          <w:color w:val="auto"/>
        </w:rPr>
        <w:t xml:space="preserve"> and as </w:t>
      </w:r>
      <w:r>
        <w:rPr>
          <w:rFonts w:ascii="Arial" w:cs="Arial" w:eastAsia="Arial" w:hAnsi="Arial"/>
          <w:sz w:val="16"/>
          <w:szCs w:val="16"/>
          <w:color w:val="auto"/>
          <w:highlight w:val="white"/>
        </w:rPr>
        <w:t>an “audit committee</w:t>
      </w:r>
      <w:r>
        <w:rPr>
          <w:rFonts w:ascii="Arial" w:cs="Arial" w:eastAsia="Arial" w:hAnsi="Arial"/>
          <w:sz w:val="16"/>
          <w:szCs w:val="16"/>
          <w:color w:val="auto"/>
        </w:rPr>
        <w:t xml:space="preserve"> </w:t>
      </w:r>
      <w:r>
        <w:rPr>
          <w:rFonts w:ascii="Arial" w:cs="Arial" w:eastAsia="Arial" w:hAnsi="Arial"/>
          <w:sz w:val="16"/>
          <w:szCs w:val="16"/>
          <w:color w:val="auto"/>
          <w:highlight w:val="white"/>
        </w:rPr>
        <w:t>financial expert</w:t>
      </w:r>
      <w:r>
        <w:rPr>
          <w:rFonts w:ascii="Arial" w:cs="Arial" w:eastAsia="Arial" w:hAnsi="Arial"/>
          <w:sz w:val="16"/>
          <w:szCs w:val="16"/>
          <w:color w:val="auto"/>
        </w:rPr>
        <w:t>” (subject to his qualification and appointment, as applicable), which represents a stock award equal to $100,000 divided</w:t>
      </w:r>
      <w:r>
        <w:rPr>
          <w:rFonts w:ascii="Arial" w:cs="Arial" w:eastAsia="Arial" w:hAnsi="Arial"/>
          <w:sz w:val="16"/>
          <w:szCs w:val="16"/>
          <w:color w:val="auto"/>
          <w:highlight w:val="white"/>
        </w:rPr>
        <w:t xml:space="preserve"> </w:t>
      </w:r>
      <w:r>
        <w:rPr>
          <w:rFonts w:ascii="Arial" w:cs="Arial" w:eastAsia="Arial" w:hAnsi="Arial"/>
          <w:sz w:val="16"/>
          <w:szCs w:val="16"/>
          <w:color w:val="auto"/>
        </w:rPr>
        <w:t>by the initial public offering price in this offering (see “Executive Compensation—Actions Taken in Connection with This Offering”);</w:t>
      </w:r>
    </w:p>
    <w:p>
      <w:pPr>
        <w:spacing w:after="0" w:line="157" w:lineRule="exact"/>
        <w:rPr>
          <w:rFonts w:ascii="Arial" w:cs="Arial" w:eastAsia="Arial" w:hAnsi="Arial"/>
          <w:sz w:val="16"/>
          <w:szCs w:val="16"/>
          <w:color w:val="auto"/>
        </w:rPr>
      </w:pPr>
    </w:p>
    <w:p>
      <w:pPr>
        <w:ind w:left="1560" w:hanging="903"/>
        <w:spacing w:after="0"/>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shares of our Class A common stock reserved for future issuance under the 2020 Plan;</w:t>
      </w:r>
    </w:p>
    <w:p>
      <w:pPr>
        <w:spacing w:after="0" w:line="225" w:lineRule="exact"/>
        <w:rPr>
          <w:rFonts w:ascii="Arial" w:cs="Arial" w:eastAsia="Arial" w:hAnsi="Arial"/>
          <w:sz w:val="18"/>
          <w:szCs w:val="18"/>
          <w:color w:val="auto"/>
        </w:rPr>
      </w:pPr>
    </w:p>
    <w:p>
      <w:pPr>
        <w:jc w:val="both"/>
        <w:ind w:left="980" w:hanging="323"/>
        <w:spacing w:after="0" w:line="311" w:lineRule="auto"/>
        <w:tabs>
          <w:tab w:leader="none" w:pos="17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of our Class A common stock to be issued to Fernando Alonso pursuant to a promotional services agreement entered into with Mr. Alonso, representing 3.0% of the issued and outstanding shares of our Class A common stock as of the closing date of this offering (see “Business—Marketing, Sales, and Distribution—Promotional Services Agreement with Fernando Alonso”); and</w:t>
      </w:r>
    </w:p>
    <w:p>
      <w:pPr>
        <w:spacing w:after="0" w:line="148" w:lineRule="exact"/>
        <w:rPr>
          <w:rFonts w:ascii="Arial" w:cs="Arial" w:eastAsia="Arial" w:hAnsi="Arial"/>
          <w:sz w:val="16"/>
          <w:szCs w:val="16"/>
          <w:color w:val="auto"/>
        </w:rPr>
      </w:pPr>
    </w:p>
    <w:p>
      <w:pPr>
        <w:ind w:left="980" w:hanging="323"/>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of our Class A common stock that may be issued outside of the 2020 Plan to Dmitry Kozko, our Chief Executive Officer, subject</w:t>
      </w:r>
    </w:p>
    <w:p>
      <w:pPr>
        <w:spacing w:after="0" w:line="46" w:lineRule="exact"/>
        <w:rPr>
          <w:sz w:val="20"/>
          <w:szCs w:val="20"/>
          <w:color w:val="auto"/>
        </w:rPr>
      </w:pPr>
    </w:p>
    <w:p>
      <w:pPr>
        <w:jc w:val="both"/>
        <w:ind w:left="980" w:right="20"/>
        <w:spacing w:after="0" w:line="281" w:lineRule="auto"/>
        <w:rPr>
          <w:sz w:val="20"/>
          <w:szCs w:val="20"/>
          <w:color w:val="auto"/>
        </w:rPr>
      </w:pPr>
      <w:r>
        <w:rPr>
          <w:rFonts w:ascii="Arial" w:cs="Arial" w:eastAsia="Arial" w:hAnsi="Arial"/>
          <w:sz w:val="16"/>
          <w:szCs w:val="16"/>
          <w:color w:val="auto"/>
        </w:rPr>
        <w:t>to the satisfaction of certain conditions as set forth in his employment agreement with us, including (i) up to shares that may be issued in connection with this offering representing 1.0% of the expected issued and outstanding shares of our Class A common stock</w:t>
      </w:r>
    </w:p>
    <w:p>
      <w:pPr>
        <w:spacing w:after="0" w:line="1" w:lineRule="exact"/>
        <w:rPr>
          <w:sz w:val="20"/>
          <w:szCs w:val="20"/>
          <w:color w:val="auto"/>
        </w:rPr>
      </w:pPr>
    </w:p>
    <w:p>
      <w:pPr>
        <w:jc w:val="both"/>
        <w:ind w:left="980"/>
        <w:spacing w:after="0" w:line="302" w:lineRule="auto"/>
        <w:rPr>
          <w:sz w:val="20"/>
          <w:szCs w:val="20"/>
          <w:color w:val="auto"/>
        </w:rPr>
      </w:pPr>
      <w:r>
        <w:rPr>
          <w:rFonts w:ascii="Arial" w:cs="Arial" w:eastAsia="Arial" w:hAnsi="Arial"/>
          <w:sz w:val="16"/>
          <w:szCs w:val="16"/>
          <w:color w:val="auto"/>
        </w:rPr>
        <w:t>as of the closing date of this offering and (ii) shares issuable upon exercise of stock options that may be granted in connection with this offering representing 2.0% of the expected issued and outstanding shares of our Class A common stock as of the closing date of this offering (see “Executive Compensation—Executive Employment Arrangements</w:t>
      </w:r>
      <w:r>
        <w:rPr>
          <w:rFonts w:ascii="Arial" w:cs="Arial" w:eastAsia="Arial" w:hAnsi="Arial"/>
          <w:sz w:val="16"/>
          <w:szCs w:val="16"/>
          <w:b w:val="1"/>
          <w:bCs w:val="1"/>
          <w:i w:val="1"/>
          <w:iCs w:val="1"/>
          <w:color w:val="auto"/>
        </w:rPr>
        <w:t>—</w:t>
      </w:r>
      <w:r>
        <w:rPr>
          <w:rFonts w:ascii="Arial" w:cs="Arial" w:eastAsia="Arial" w:hAnsi="Arial"/>
          <w:sz w:val="16"/>
          <w:szCs w:val="16"/>
          <w:color w:val="auto"/>
        </w:rPr>
        <w:t>Employment Agreement with Dmitry Kozko”).</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highlight w:val="white"/>
        </w:rPr>
        <w:t>In addition, unless we specifically state otherwise, the information in this prospectus assumes:</w:t>
      </w:r>
    </w:p>
    <w:p>
      <w:pPr>
        <w:spacing w:after="0" w:line="57" w:lineRule="exact"/>
        <w:rPr>
          <w:sz w:val="20"/>
          <w:szCs w:val="20"/>
          <w:color w:val="auto"/>
        </w:rPr>
      </w:pPr>
    </w:p>
    <w:p>
      <w:pPr>
        <w:ind w:left="980" w:hanging="323"/>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completion of our corporate conversion, as a result of which 100% of the membership interests currently held by the Company’s</w:t>
      </w:r>
    </w:p>
    <w:p>
      <w:pPr>
        <w:spacing w:after="0" w:line="200"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sole member will convert into an aggregate of (i) shares of our Class A common stock and (ii) shares of our Class B common stock;</w:t>
      </w:r>
    </w:p>
    <w:p>
      <w:pPr>
        <w:spacing w:after="0" w:line="170" w:lineRule="exact"/>
        <w:rPr>
          <w:sz w:val="20"/>
          <w:szCs w:val="20"/>
          <w:color w:val="auto"/>
        </w:rPr>
      </w:pPr>
    </w:p>
    <w:p>
      <w:pPr>
        <w:ind w:left="980" w:hanging="323"/>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initial public offering price of $    per share, the midpoint of the estimated price range set forth on the cover of this prospectus; and</w:t>
      </w:r>
    </w:p>
    <w:p>
      <w:pPr>
        <w:spacing w:after="0" w:line="248" w:lineRule="exact"/>
        <w:rPr>
          <w:sz w:val="20"/>
          <w:szCs w:val="20"/>
          <w:color w:val="auto"/>
        </w:rPr>
      </w:pPr>
    </w:p>
    <w:p>
      <w:pPr>
        <w:ind w:left="660"/>
        <w:spacing w:after="0"/>
        <w:tabs>
          <w:tab w:leader="none" w:pos="960" w:val="left"/>
          <w:tab w:leader="none" w:pos="6500" w:val="left"/>
        </w:tabs>
        <w:rPr>
          <w:sz w:val="20"/>
          <w:szCs w:val="20"/>
          <w:color w:val="auto"/>
        </w:rPr>
      </w:pPr>
      <w:r>
        <w:rPr>
          <w:rFonts w:ascii="Arial" w:cs="Arial" w:eastAsia="Arial" w:hAnsi="Arial"/>
          <w:sz w:val="18"/>
          <w:szCs w:val="18"/>
          <w:color w:val="auto"/>
        </w:rPr>
        <w:t>●</w:t>
        <w:tab/>
        <w:t>no exercise by the underwriters of their option to purchase an additional</w:t>
      </w:r>
      <w:r>
        <w:rPr>
          <w:sz w:val="20"/>
          <w:szCs w:val="20"/>
          <w:color w:val="auto"/>
        </w:rPr>
        <w:tab/>
      </w:r>
      <w:r>
        <w:rPr>
          <w:rFonts w:ascii="Arial" w:cs="Arial" w:eastAsia="Arial" w:hAnsi="Arial"/>
          <w:sz w:val="16"/>
          <w:szCs w:val="16"/>
          <w:color w:val="auto"/>
        </w:rPr>
        <w:t>shares of our Class A common stock.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125" w:right="5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297180</wp:posOffset>
            </wp:positionV>
            <wp:extent cx="7127875" cy="8002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7875" cy="8002270"/>
                    </a:xfrm>
                    <a:prstGeom prst="rect">
                      <a:avLst/>
                    </a:prstGeom>
                    <a:noFill/>
                  </pic:spPr>
                </pic:pic>
              </a:graphicData>
            </a:graphic>
          </wp:anchor>
        </w:drawing>
        <w:t>SUMMARY HISTORICAL CONSOLIDATED FINANCIAL DATA</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tables set forth a summary of our historical consolidated financial data as of, and for the periods ended on, the dates indicated. On August 14, 2018, Motorsport Gaming US LLC acquired a 53.5% equity interest in 704Games. The summary historical financial data below includes (i) the summary historical consolidated financial data of Motorsport Gaming US LLC for the year ended December 31, 2019 and for the period from August 15, 2018 to December 31, 2018 (the “Successor Period”) and; (ii) the summary historical financial data of 704Games for the period from January 1, 2018 to August 14, 2018 (the “Predecessor Period”), which are derived from our audited consolidated financial statements and related notes appearing elsewhere in this prospectus. To assist with the period-to-period comparison, we have combined amounts from the Predecessor Period and the portion of the Successor Period from August 15, 2018 to December 31, 2018 without any other adjustments and refer to this combined period as the combined year ended December 31, 2018. This combination does not comply with generally accepted accounting principles in the United States of America (“U.S. GAAP”) or with the rules for pro forma presentation.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summary historical consolidated statement of operations data for the nine months ended September 30, 2020 and 2019 and the summary consolidated balance sheet data as of September 30, 2020 are derived from our unaudited interim consolidated financial statements included elsewhere in this prospectus. These unaudited interim financial statements have been prepared in accordance with U.S. GAAP and on the same basis as the audited consolidated financial statements and, in the opinion of management, reflect all adjustments, which include only normal recurring adjustments, necessary to state fairly our financial position as of September 30, 2020 and the results of operations for the nine months ended September 30, 2020 and 2019.</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historical results are not necessarily indicative of our future results, and our results for the nine months ended September 30, 2020 are not necessarily indicative of results to be expected for the full year. You should read this data together with our consolidated financial statements and related notes appearing elsewhere in this prospectus and the information contained under the headings “Selected Historical Consolidated Financial Data” and “Management’s Discussion and Analysis of Financial Condition and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center"/>
              <w:ind w:right="221"/>
              <w:spacing w:after="0"/>
              <w:rPr>
                <w:sz w:val="20"/>
                <w:szCs w:val="20"/>
                <w:color w:val="auto"/>
              </w:rPr>
            </w:pPr>
            <w:r>
              <w:rPr>
                <w:rFonts w:ascii="Arial" w:cs="Arial" w:eastAsia="Arial" w:hAnsi="Arial"/>
                <w:sz w:val="18"/>
                <w:szCs w:val="18"/>
                <w:b w:val="1"/>
                <w:bCs w:val="1"/>
                <w:color w:val="auto"/>
                <w:w w:val="90"/>
              </w:rPr>
              <w:t>Combined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center"/>
              <w:ind w:right="221"/>
              <w:spacing w:after="0"/>
              <w:rPr>
                <w:sz w:val="20"/>
                <w:szCs w:val="20"/>
                <w:color w:val="auto"/>
              </w:rPr>
            </w:pPr>
            <w:r>
              <w:rPr>
                <w:rFonts w:ascii="Arial" w:cs="Arial" w:eastAsia="Arial" w:hAnsi="Arial"/>
                <w:sz w:val="18"/>
                <w:szCs w:val="18"/>
                <w:b w:val="1"/>
                <w:bCs w:val="1"/>
                <w:color w:val="auto"/>
                <w:w w:val="84"/>
              </w:rPr>
              <w:t>Successor and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center"/>
              <w:ind w:right="221"/>
              <w:spacing w:after="0"/>
              <w:rPr>
                <w:sz w:val="20"/>
                <w:szCs w:val="20"/>
                <w:color w:val="auto"/>
              </w:rPr>
            </w:pPr>
            <w:r>
              <w:rPr>
                <w:rFonts w:ascii="Arial" w:cs="Arial" w:eastAsia="Arial" w:hAnsi="Arial"/>
                <w:sz w:val="18"/>
                <w:szCs w:val="18"/>
                <w:b w:val="1"/>
                <w:bCs w:val="1"/>
                <w:color w:val="auto"/>
                <w:w w:val="85"/>
              </w:rPr>
              <w:t>Predecessor</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ind w:right="281"/>
              <w:spacing w:after="0"/>
              <w:rPr>
                <w:sz w:val="20"/>
                <w:szCs w:val="20"/>
                <w:color w:val="auto"/>
              </w:rPr>
            </w:pPr>
            <w:r>
              <w:rPr>
                <w:rFonts w:ascii="Arial" w:cs="Arial" w:eastAsia="Arial" w:hAnsi="Arial"/>
                <w:sz w:val="18"/>
                <w:szCs w:val="18"/>
                <w:b w:val="1"/>
                <w:bCs w:val="1"/>
                <w:color w:val="auto"/>
                <w:w w:val="88"/>
              </w:rPr>
              <w:t>Successor Period</w:t>
            </w:r>
          </w:p>
        </w:tc>
        <w:tc>
          <w:tcPr>
            <w:tcW w:w="400" w:type="dxa"/>
            <w:vAlign w:val="bottom"/>
          </w:tcPr>
          <w:p>
            <w:pPr>
              <w:spacing w:after="0"/>
              <w:rPr>
                <w:sz w:val="20"/>
                <w:szCs w:val="20"/>
                <w:color w:val="auto"/>
              </w:rPr>
            </w:pPr>
          </w:p>
        </w:tc>
        <w:tc>
          <w:tcPr>
            <w:tcW w:w="1340" w:type="dxa"/>
            <w:vAlign w:val="bottom"/>
            <w:gridSpan w:val="2"/>
          </w:tcPr>
          <w:p>
            <w:pPr>
              <w:jc w:val="center"/>
              <w:ind w:right="641"/>
              <w:spacing w:after="0"/>
              <w:rPr>
                <w:sz w:val="20"/>
                <w:szCs w:val="20"/>
                <w:color w:val="auto"/>
              </w:rPr>
            </w:pPr>
            <w:r>
              <w:rPr>
                <w:rFonts w:ascii="Arial" w:cs="Arial" w:eastAsia="Arial" w:hAnsi="Arial"/>
                <w:sz w:val="18"/>
                <w:szCs w:val="18"/>
                <w:b w:val="1"/>
                <w:bCs w:val="1"/>
                <w:color w:val="auto"/>
                <w:w w:val="87"/>
              </w:rPr>
              <w:t>Periods</w:t>
            </w:r>
          </w:p>
        </w:tc>
        <w:tc>
          <w:tcPr>
            <w:tcW w:w="120" w:type="dxa"/>
            <w:vAlign w:val="bottom"/>
          </w:tcPr>
          <w:p>
            <w:pPr>
              <w:spacing w:after="0"/>
              <w:rPr>
                <w:sz w:val="20"/>
                <w:szCs w:val="20"/>
                <w:color w:val="auto"/>
              </w:rPr>
            </w:pPr>
          </w:p>
        </w:tc>
        <w:tc>
          <w:tcPr>
            <w:tcW w:w="26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5"/>
              </w:rPr>
              <w:t>Successor Period</w:t>
            </w: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4"/>
          </w:tcPr>
          <w:p>
            <w:pPr>
              <w:jc w:val="right"/>
              <w:ind w:right="690"/>
              <w:spacing w:after="0" w:line="198" w:lineRule="exact"/>
              <w:rPr>
                <w:sz w:val="20"/>
                <w:szCs w:val="20"/>
                <w:color w:val="auto"/>
              </w:rPr>
            </w:pPr>
            <w:r>
              <w:rPr>
                <w:rFonts w:ascii="Arial" w:cs="Arial" w:eastAsia="Arial" w:hAnsi="Arial"/>
                <w:sz w:val="18"/>
                <w:szCs w:val="18"/>
                <w:b w:val="1"/>
                <w:bCs w:val="1"/>
                <w:color w:val="auto"/>
              </w:rPr>
              <w:t>For the Years Ended</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3"/>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For the Nine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52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11,850,787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14,756,777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0"/>
                <w:szCs w:val="20"/>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4,428,627</w:t>
            </w:r>
          </w:p>
        </w:tc>
        <w:tc>
          <w:tcPr>
            <w:tcW w:w="400" w:type="dxa"/>
            <w:vAlign w:val="bottom"/>
          </w:tcPr>
          <w:p>
            <w:pPr>
              <w:spacing w:after="0"/>
              <w:rPr>
                <w:sz w:val="20"/>
                <w:szCs w:val="20"/>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5,138,147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7,422,160</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9,618,630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12,598,273</w:t>
            </w:r>
          </w:p>
        </w:tc>
        <w:tc>
          <w:tcPr>
            <w:tcW w:w="400" w:type="dxa"/>
            <w:vAlign w:val="bottom"/>
          </w:tcPr>
          <w:p>
            <w:pPr>
              <w:spacing w:after="0"/>
              <w:rPr>
                <w:sz w:val="20"/>
                <w:szCs w:val="20"/>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10,780,510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(5,176,113)</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(1,161,880)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Other (expense) income, net (1)</w:t>
            </w:r>
          </w:p>
        </w:tc>
        <w:tc>
          <w:tcPr>
            <w:tcW w:w="320" w:type="dxa"/>
            <w:vAlign w:val="bottom"/>
          </w:tcPr>
          <w:p>
            <w:pPr>
              <w:spacing w:after="0"/>
              <w:rPr>
                <w:sz w:val="20"/>
                <w:szCs w:val="20"/>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(579,451)</w:t>
            </w:r>
          </w:p>
        </w:tc>
        <w:tc>
          <w:tcPr>
            <w:tcW w:w="400" w:type="dxa"/>
            <w:vAlign w:val="bottom"/>
          </w:tcPr>
          <w:p>
            <w:pPr>
              <w:spacing w:after="0"/>
              <w:rPr>
                <w:sz w:val="20"/>
                <w:szCs w:val="20"/>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8,381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(5,755,564)</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(1,153,499)</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0"/>
                <w:szCs w:val="20"/>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(5,755,564)</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(1,151,176)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Less: Net (loss) income attributable to noncontrolling</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1"/>
                <w:szCs w:val="21"/>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(2,191,418)</w:t>
            </w:r>
          </w:p>
        </w:tc>
        <w:tc>
          <w:tcPr>
            <w:tcW w:w="400" w:type="dxa"/>
            <w:vAlign w:val="bottom"/>
          </w:tcPr>
          <w:p>
            <w:pPr>
              <w:spacing w:after="0"/>
              <w:rPr>
                <w:sz w:val="21"/>
                <w:szCs w:val="21"/>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859,461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 attributable to Motorsport Gaming US LLC</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(3,564,146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(2,010,637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8"/>
                <w:szCs w:val="18"/>
                <w:color w:val="auto"/>
              </w:rPr>
              <w:t>Pro forma net loss per share - basic and diluted (2)</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657"/>
        <w:spacing w:after="0" w:line="286" w:lineRule="auto"/>
        <w:tabs>
          <w:tab w:leader="none" w:pos="1267"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purpose of presenting summary historical consolidated financial data, we have aggregated interest income (expense), loss attributable to equity method investment, and other (expense) income, net from our consolidated statements of operations for the years ended December 31, 2019 and 2018 and for the nine months ended September 30, 2020 and 2019 into a single caption.</w:t>
      </w:r>
    </w:p>
    <w:p>
      <w:pPr>
        <w:spacing w:after="0" w:line="165" w:lineRule="exact"/>
        <w:rPr>
          <w:rFonts w:ascii="Arial" w:cs="Arial" w:eastAsia="Arial" w:hAnsi="Arial"/>
          <w:sz w:val="17"/>
          <w:szCs w:val="17"/>
          <w:color w:val="auto"/>
        </w:rPr>
      </w:pPr>
    </w:p>
    <w:p>
      <w:pPr>
        <w:jc w:val="both"/>
        <w:ind w:firstLine="657"/>
        <w:spacing w:after="0" w:line="286" w:lineRule="auto"/>
        <w:tabs>
          <w:tab w:leader="none" w:pos="1261"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presented pro forma basic and diluted net loss per share for the year ended December 31, 2019 and for the nine months ended September 30, 2020, which consists of our historical net loss attributable to Motorsport Gaming US LLC, divided by the pro forma basic and diluted weighted average number of shares of our common stock outstanding after giving effect to the corporate conversion.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904" w:right="5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20"/>
                <w:szCs w:val="20"/>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 2020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7"/>
                <w:szCs w:val="17"/>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Pro Forma</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As Adjusted</w:t>
            </w:r>
          </w:p>
        </w:tc>
      </w:tr>
      <w:tr>
        <w:trPr>
          <w:trHeight w:val="241"/>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Actual</w:t>
            </w:r>
          </w:p>
        </w:tc>
        <w:tc>
          <w:tcPr>
            <w:tcW w:w="14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0"/>
              </w:rPr>
              <w:t>(1)</w:t>
            </w:r>
          </w:p>
        </w:tc>
        <w:tc>
          <w:tcPr>
            <w:tcW w:w="3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100" w:type="dxa"/>
            <w:vAlign w:val="bottom"/>
          </w:tcPr>
          <w:p>
            <w:pPr>
              <w:spacing w:after="0"/>
              <w:rPr>
                <w:sz w:val="20"/>
                <w:szCs w:val="20"/>
                <w:color w:val="auto"/>
              </w:rPr>
            </w:pPr>
          </w:p>
        </w:tc>
      </w:tr>
      <w:tr>
        <w:trPr>
          <w:trHeight w:val="216"/>
        </w:trPr>
        <w:tc>
          <w:tcPr>
            <w:tcW w:w="3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1,960,279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3,413,427</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7,129,632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8,699,604</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12,777,274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15,670,258</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9,165,314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6,302,734</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member’s/stockholders’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3,611,960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9,367,524</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0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Total liabilities and member’s/stockholders’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12,777,274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15,670,258</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Working capital (deficiency)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(2,035,682)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2,396,870</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956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7875" cy="6956425"/>
                    </a:xfrm>
                    <a:prstGeom prst="rect">
                      <a:avLst/>
                    </a:prstGeom>
                    <a:noFill/>
                  </pic:spPr>
                </pic:pic>
              </a:graphicData>
            </a:graphic>
          </wp:anchor>
        </w:drawing>
      </w:r>
    </w:p>
    <w:p>
      <w:pPr>
        <w:ind w:left="900" w:hanging="24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 forma consolidated balance sheet data gives effect to the corporate conversion.</w:t>
      </w:r>
    </w:p>
    <w:p>
      <w:pPr>
        <w:spacing w:after="0" w:line="225" w:lineRule="exact"/>
        <w:rPr>
          <w:rFonts w:ascii="Arial" w:cs="Arial" w:eastAsia="Arial" w:hAnsi="Arial"/>
          <w:sz w:val="18"/>
          <w:szCs w:val="18"/>
          <w:color w:val="auto"/>
        </w:rPr>
      </w:pPr>
    </w:p>
    <w:p>
      <w:pPr>
        <w:ind w:left="920" w:hanging="263"/>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 forma as adjusted balance sheet data gives effect to the pro forma adjustments described in footnote (1) and additionally gives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 to the issuance and sale of shares of our Class A common stock in this offering at an assumed initial public offering price of $ per share, which is the midpoint of the price range set forth on the cover page of this prospectus, after deducting estimated underwritten discounts and commissions and estimated offering expenses payable by us.</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Each $1.00 increase (decrease) in the assumed initial public offering price of $ per share, which is the midpoint of the price range set forth on the cover page of this prospectus, would increase (decrease) pro forma as adjusted cash, working capital, total assets, and total</w:t>
      </w:r>
    </w:p>
    <w:p>
      <w:pPr>
        <w:jc w:val="both"/>
        <w:spacing w:after="0" w:line="253" w:lineRule="auto"/>
        <w:rPr>
          <w:sz w:val="20"/>
          <w:szCs w:val="20"/>
          <w:color w:val="auto"/>
        </w:rPr>
      </w:pPr>
      <w:r>
        <w:rPr>
          <w:rFonts w:ascii="Arial" w:cs="Arial" w:eastAsia="Arial" w:hAnsi="Arial"/>
          <w:sz w:val="18"/>
          <w:szCs w:val="18"/>
          <w:color w:val="auto"/>
        </w:rPr>
        <w:t>stockholders’ equity by $ million, assuming that the number of shares offered by us, as set forth on the cover page of this prospectus, remains the same and after deducting estimated underwriting discounts and commissions and estimated offering expenses payable by us. The pro forma as adjusted information discussed above is illustrative only and will be adjusted based on the actual initial public offering price and other terms of our initial public offering determined at pricing.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EBITDA, a measure used by management to assess our operating performance, is defined as net loss plus interest (income) expense and depreciation and amortization, less income tax benefit. Adjusted EBITDA is defined as EBITDA adjusted to exclude (i) certain acquisition related expenses, (ii) stock-based compensation expenses and (iii) charges or gains resulting from non-recurring events. We use Adjusted EBITDA to manage our business and evaluate our financial performance, as it has been adjusted for items that affect comparability between periods that we believe are not representative of our core business. Additionally, management believes that EBITDA and Adjusted EBITDA are useful to investors because they enhance investors’ understanding and assessment of our performance, facilitate comparisons to prior periods and our competitors’ results and assist in forecasting performance for future periods.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of the above described measures is not a recognized term under U.S. GAAP and does not purport to be an alternative to revenue, loss from operations, net loss or any other measure derived in accordance with U.S. GAAP as a measure of operating performance or to cash flows from operations as a measure of liquidity. Additionally, each such measure is not intended to be a measure of free cash flows available for management’s discretionary use, as it does not consider certain cash requirements such as interest payments, tax payments and debt service requirements. Such measures have limitations as analytical tools, and you should not consider any of such measures in isolation or as substitutes for our results as reported under U.S. GAAP. Management compensates for the limitations of using non-GAAP financial measures by using them to supplement U.S. GAAP results to provide a more complete understanding of the factors and trends affecting the business than U.S. GAAP results alone. Because not all companies use identical calculations, our measures may not be comparable to other similarly titled measures of other companies. This section includes reconciliations of these non-GAAP measures to the most directly comparable financial measures calculated and presented in accordance with U.S. GAAP.</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918" w:right="559" w:bottom="1440" w:gutter="0" w:footer="0" w:header="0"/>
        </w:sectPr>
      </w:pPr>
    </w:p>
    <w:bookmarkStart w:id="19" w:name="page20"/>
    <w:bookmarkEnd w:id="19"/>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2369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7875" cy="2369820"/>
                    </a:xfrm>
                    <a:prstGeom prst="rect">
                      <a:avLst/>
                    </a:prstGeom>
                    <a:noFill/>
                  </pic:spPr>
                </pic:pic>
              </a:graphicData>
            </a:graphic>
          </wp:anchor>
        </w:drawing>
        <w:t>The following table provides a reconciliation from net loss to EBITDA and Adjusted EBITDA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For the Nine Months Ended</w:t>
            </w:r>
          </w:p>
        </w:tc>
      </w:tr>
      <w:tr>
        <w:trPr>
          <w:trHeight w:val="241"/>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For the Years Ended December 31,</w:t>
            </w:r>
          </w:p>
        </w:tc>
        <w:tc>
          <w:tcPr>
            <w:tcW w:w="120" w:type="dxa"/>
            <w:vAlign w:val="bottom"/>
          </w:tcPr>
          <w:p>
            <w:pPr>
              <w:spacing w:after="0"/>
              <w:rPr>
                <w:sz w:val="20"/>
                <w:szCs w:val="20"/>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(Unaudited)</w:t>
            </w:r>
          </w:p>
        </w:tc>
        <w:tc>
          <w:tcPr>
            <w:tcW w:w="320" w:type="dxa"/>
            <w:vAlign w:val="bottom"/>
            <w:gridSpan w:val="2"/>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GAAP 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(5,755,564)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(1,151,176)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GAAP interest (income) expense</w:t>
            </w:r>
          </w:p>
        </w:tc>
        <w:tc>
          <w:tcPr>
            <w:tcW w:w="22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(35,728)</w:t>
            </w:r>
          </w:p>
        </w:tc>
        <w:tc>
          <w:tcPr>
            <w:tcW w:w="2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26,250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GAAP depreciation and amortization</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861,872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461,489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GAAP income tax benefit</w:t>
            </w:r>
          </w:p>
        </w:tc>
        <w:tc>
          <w:tcPr>
            <w:tcW w:w="220" w:type="dxa"/>
            <w:vAlign w:val="bottom"/>
          </w:tcPr>
          <w:p>
            <w:pPr>
              <w:spacing w:after="0"/>
              <w:rPr>
                <w:sz w:val="20"/>
                <w:szCs w:val="20"/>
                <w:color w:val="auto"/>
              </w:rPr>
            </w:pPr>
          </w:p>
        </w:tc>
        <w:tc>
          <w:tcPr>
            <w:tcW w:w="12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(4,929,420)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(665,760)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Acquisition related expense</w:t>
            </w:r>
          </w:p>
        </w:tc>
        <w:tc>
          <w:tcPr>
            <w:tcW w:w="220" w:type="dxa"/>
            <w:vAlign w:val="bottom"/>
          </w:tcPr>
          <w:p>
            <w:pPr>
              <w:spacing w:after="0"/>
              <w:rPr>
                <w:sz w:val="20"/>
                <w:szCs w:val="20"/>
                <w:color w:val="auto"/>
              </w:rPr>
            </w:pPr>
          </w:p>
        </w:tc>
        <w:tc>
          <w:tcPr>
            <w:tcW w:w="12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127,000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546,546</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(4,929,420</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This offering and investing in our Class A common stock involves a high degree of risk. You should carefully consider the risks and uncertainties described below together with all of the other information contained in this prospectus, including our consolidated financial statements and the related notes thereto and “Management’s Discussion and Analysis of Financial Condition and Results of Operations,” before deciding to invest in our Class A common stock. If any of the following risks actually occurs, our business, prospects, operating results and financial condition could suffer materially, the trading price of our Class A common stock could decline and you could lose all or part of your investment. Additional risks and uncertainties not presently known to us or that we currently deem immaterial may also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do not consistently deliver popular products or if consumers prefer competing products, our business may be negatively impacted.</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order to remain competitive, we must continuously develop new products or enhancements to our existing products. Consumer preferences for games are usually cyclical and difficult to predict, and even the most successful content remains popular for only a limited period of time unless refreshed or otherwise enhanced. These products or enhancements may not be well-received by consumers, even if well-reviewed and of high quality. Further, competitors may develop content that imitates or competes with our best-selling games, potentially taking sales away from us or reducing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if our marketing fails to resonate with our consumers, if consumers lose interest in a genre of games we produce, if the use of cross-promotion within our mobile games to retain consumers becomes less effective, or if our competitors develop more successful products or offer competitive products at lower prices, our revenues and profit margins could decline.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downloadable content to our business amplifies these risks, as downloadable content for poorly-received games typically generates lower-than-expected sales. In addition, our own best-selling products could compete with our other games, reducing sales for those other games.</w:t>
      </w:r>
    </w:p>
    <w:p>
      <w:pPr>
        <w:spacing w:after="0" w:line="18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business and products are highly concentrated in the racing game genre, and our operating results may suffer if consumer preferences shift away from this genre.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our revenue is currently generated, and is expected to continue to be substantially generated, from products in the racing game genre. Accordingly, our future success will depend on the popularity of games in the racing game genre with consumers. Consumer preferences are difficult to predict and subject to frequent changes, and if interest in the racing game genre declines, even if our share of the racing game genre is stable or expands, our operating results could suffer. Additionally, our concentration in the racing game genre could place us at a disadvantage against other gaming companies that offer a more diverse selection of games.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do not provide high-quality products, our business may be negatively impacted</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creation and organization of esports leagues and events, do not function as consumers expect, whether because they fail to function as advertised or otherwise, our sales may suffer. If any of these issues occur, consumers may stop playing the game and may be less likely to return to the game as often in the future, which may negatively impact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i w:val="1"/>
          <w:iCs w:val="1"/>
          <w:color w:val="auto"/>
        </w:rPr>
        <w:t>If we fail to deliver products in a timely manner, our business may be negatively impacted</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Delays in product releases or disruptions following the commercial release of one or more new products could negatively impact our business, our revenues and reputation and could cause our results of operations to be materially different from expectations. This is particularly the case where we seek to release certain products in conjunction with key events, such as the beginning of a racing season or a major racing event. If we fail to release our products in a timely manner, or if we are unable to continue to improve our existing games by adding features and functionality that will encourage continued engagement with these games, our business may be negatively impacted. Moreover, if we or our third-party developers experience unanticipated development delays, financial difficulties, or additional costs, for example as a result of the COVID-19 pandemic, we may not be able to release titles according to our schedule and at budgeted costs. There can be no assurance that our products will be sufficiently successful so that we can recoup these costs or make a profit on these products.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the amount of lead time and cost involved in the development of high-quality products is increasing due to growing technical complexities and higher expectations from consumers. As a result, it is especially critical that we accurately predict consumer demand for such products. If our future products do not achieve expected consumer acceptance or generate sufficient revenues upon introduction, we may not be able to recover the substantial up-front development and marketing costs associated with those products.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recent COVID-19 pandemic has impacted our operations and could adversely affect our business operations, financial performance and results of operations, the extent of which is uncertain and difficult to predict.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global spread of the COVID-19 pandemic has created significant business uncertainty for us and others, resulting in volatility and economic disruption. Additionally, the outbreak has resulted in government authorities around the world implementing numerous measures to try to reduce the spread of COVID-19, such as travel bans and restrictions, quarantines, shelter-in-place, stay-at-home or total lock-down (or similar) orders and business limitations and shutdowns.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a result of the COVID-19 pandemic, including the related responses from government authorities, our business and operations have been impacted, including the temporary closure of our offices in Orlando, Florida and Moscow, Russia, which has resulted in our employees working remotely. During the COVID-19 outbreak, several retailers have experienced, and continue to experience, closures, reduced operating hours and/or other restrictions as a result of the COVID-19 pandemic, which has negatively impacted the sales of our products from such retailers. Additionally, in our esports business, the COVID-19 pandemic has resulted in the postponing of certain events to later dates or shifting events from an in-person format to online only.</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Our business operations, financial performance and results of operations </w:t>
      </w:r>
      <w:r>
        <w:rPr>
          <w:rFonts w:ascii="Arial" w:cs="Arial" w:eastAsia="Arial" w:hAnsi="Arial"/>
          <w:sz w:val="18"/>
          <w:szCs w:val="18"/>
          <w:color w:val="212529"/>
        </w:rPr>
        <w:t>could be further adversely affected in a number of ways, including, but</w:t>
      </w:r>
      <w:r>
        <w:rPr>
          <w:rFonts w:ascii="Arial" w:cs="Arial" w:eastAsia="Arial" w:hAnsi="Arial"/>
          <w:sz w:val="18"/>
          <w:szCs w:val="18"/>
          <w:color w:val="auto"/>
        </w:rPr>
        <w:t xml:space="preserve"> </w:t>
      </w:r>
      <w:r>
        <w:rPr>
          <w:rFonts w:ascii="Arial" w:cs="Arial" w:eastAsia="Arial" w:hAnsi="Arial"/>
          <w:sz w:val="18"/>
          <w:szCs w:val="18"/>
          <w:color w:val="212529"/>
        </w:rPr>
        <w:t>not limited to, the following</w:t>
      </w:r>
      <w:r>
        <w:rPr>
          <w:rFonts w:ascii="Arial" w:cs="Arial" w:eastAsia="Arial" w:hAnsi="Arial"/>
          <w:sz w:val="18"/>
          <w:szCs w:val="18"/>
          <w:color w:val="000000"/>
        </w:rPr>
        <w:t>:</w:t>
      </w:r>
    </w:p>
    <w:p>
      <w:pPr>
        <w:spacing w:after="0" w:line="170"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consumer demand for our products and adverse effects on the discretionary spending patterns of our customers, including the ability of our customers to pay for our products;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operations and seasons of the motorsports industry may be further altered or even canceled due to the COVID-19 pandemic, which may further affect the demand for our products and esports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disruptions to our operations, including any additional closures of our offices and facilities, which may affect our ability to develop, market, and sell our products;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the operations of our counterparties, including the physical retail, digital download online platforms, and cloud streaming services we rely on for the distribution of our products, the suppliers who manufacture our physical products and other third parties with which we partner (e.g., to market or ship our products);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employee resources and availability, including due to sickness, government restrictions, the desire of employees to avoid contact with large groups of people or mass transit disruptions;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fluctuation in foreign currency exchange rates, which could impact our operations in the United Kingdom and Russia, or interest rates could result from market uncertainties;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cost or the difficulty of obtaining debt or equity financing could affect our financial condition or our ability to fund operations or future investment opportunities.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648"/>
        <w:spacing w:after="0" w:line="275" w:lineRule="auto"/>
        <w:rPr>
          <w:sz w:val="20"/>
          <w:szCs w:val="20"/>
          <w:color w:val="auto"/>
        </w:rPr>
      </w:pPr>
      <w:r>
        <w:rPr>
          <w:rFonts w:ascii="Arial" w:cs="Arial" w:eastAsia="Arial" w:hAnsi="Arial"/>
          <w:sz w:val="17"/>
          <w:szCs w:val="17"/>
          <w:color w:val="auto"/>
        </w:rPr>
        <w:t>Additionally, an increase in the number of employees working remotely due to the COVID-19 pandemic also increases the potential adverse impact of risk associated with information technology systems and networks, including cyber-attacks, computer viruses, malicious software, security breaches, and telecommunication failures, both for systems and networks we control directly and for those that employees and third-party developers rely on to work remotely. Any failure to prevent or mitigate security breaches or cyber risks or detect, or respond adequately to, a security breach or cyber risk, or any other disruptions to our information technology systems and networks, can have adverse effects on our business.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Further, key personnel could contract COVID-19, hindering their availability and productivity.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degree to which the COVID-19 pandemic impacts our operations, business, financial results, liquidity, and financial condition will depend on future developments, which are highly uncertain, continuously evolving and cannot be predicted. This includes, but is not limited to, the duration and spread of the pandemic, its severity, actions to contain the virus or treat its impact, and how quickly and to what extent normal economic and operating conditions can resume.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Declines in consumer spending and other adverse changes in the economy could have a material adverse effect on our business, financial condition and operating results.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product purchases are predominately driven by discretionary spending by consumers. We believe that consumer spending is influenced by general economic conditions and the availability of discretionary income. This makes our products particularly sensitive to general economic conditions and economic cycles as consumers are generally more willing to make discretionary purchases, including purchases of products like ours, during periods in which favorable economic conditions prevail. Adverse economic conditions, such as a prolonged U.S. or international general economic downturn, whether or not caused by COVID-19, including periods of increased inflation, unemployment levels, tax rates, interest rates, energy prices, or declining consumer confidence, could also reduce consumer spending. Reduced consumer spending may in the future result in reduced demand for our products and may also require increased selling and promotional expenses, which has had and may continue to have an adverse effect on our business, financial condition and operating results. In addition, during periods of relative economic weakness, our consolidated credit risk, reflecting our counterparty dealings with distributors, customers, capital providers and others may increase, perhaps materially so. As a result of COVID-19, our counterparty credit risk may be particularly exacerbated, as certain of our counterparties may face financial difficulties in paying owed amounts on a timely basis or at all. Furthermore, uncertainty and adverse changes in the economy could also increase the risk of material losses on our investments, costs associated with developing and publishing our products, the cost and availability of sources of financing, and our exposure to material losses from bad debts, any of which could have a material adverse effect on our business, financial condition and operating results. If economic conditions worsen, our business, financial condition and operating results could be adversely affected.</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are particularly susceptible to market conditions and risks specific to the entertainment industry, which include the popularity, price, and timing of our products; changes in consumer demographics; the availability and popularity of other forms of entertainment and leisure; and critical reviews and public tastes and preferences, which may change rapidly and cannot necessarily be predicted.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video game and esports industry is significantly dependent on the popularity of a small number of games, and we may not have access to “hit” games or titles.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video game and esports industries have generally been dominated by a select few “hit” game titles. Accordingly, the success of our esports events will be closely linked to the quality and popularity of the games we publish or support for our esports events. Further, if we are unable to produce engaging and popular games, we may fail to sell the expected number of console games, meet our target install number for our mobile games, attract sufficient numbers of gamers to participate in our esports events and our live esports streams may not attract a growing audience, all of which may have a material and adverse impact on our results of operations and financial conditions.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on a relatively small number of franchises for a significant portion of our revenues and profits.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follow a franchise model and a significant portion of our revenues has historically been derived from products based on a relatively small number of popular franchises. These products are responsible for a disproportionately high percentage of our profits. For example, revenues associated with the NASCAR Heat franchise accounted for approximately 99% of our net revenues for the years ended December 31, 2019 and 2018, and we expect this franchise to continue to account for a significant portion of our revenue for the year ended December 31, 2020. In the future, we expect this trend to continue with a relatively limited number of franchises producing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we may have to write off the unrecovered portion of the underlying intellectual property assets, which could negatively impact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ability to acquire and maintain licenses to intellectual property, especially for sports titles, affects our revenue and profitability.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these licenses may make them more expensive and increase our costs.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our products and services are based on or incorporate intellectual property owned by others. For example, we have obtained an exclusive license for our NASCAR games and related-esports franchise, and, through a series of joint ventures with various racing series, we own, or are in the process of obtaining, exclusive rights to operate various esports tournaments and leagues, including the Le Mans Esports tournament and the eNHPL. Competition for these licenses and rights is intense. If we are unable to maintain these licenses and rights or obtain additional licenses or rights with significant commercial value, our ability to develop successful and engaging games and services may be adversely affected and our revenue, profitability and cash flows may decline significantly. Competition for these licenses also may increase minimum guarantees and royalty rates payable to licensors and developers, which could significantly increase our costs and reduce our profitability.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importance of retail sales to our business exposes us to the risks of that business model.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our customer base is increasingly purchasing our games as digital downloads, retail sales will remain important to our business. These products are sold primarily through a distribution network with exclusive partners who specialize in the distribution of games, including through mass-market retailers (e.g., Target, Wal-Mart), consumer electronics stores (e.g., Best Buy), discount warehouses, game specialty stores (e.g., GameStop) and other online retail stores (e.g., Amazon). The loss of, or a significant reduction in sales by, any of these retailers could have adverse consequences to our business and results of operations.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Moreover, the importance of retail sales to our business exposes us to the risk of price protection with respect to our distribution partners and retailers. Price protection, when granted, allows these distribution partners and retailers to receive a credit from us against amounts owed to us with respect to merchandise unsold by them. We typically grant price protection to distribution partners and retailers who meet certain conditions, which include compliance with applicable payment and marketing terms, delivery of weekly inventory and sales information and consistent participation in the launches of premium title releases. We may also consider other factors, including the facilitation of slow-moving inventory and other industry factors. Although we maintain a reserve for price protection, and although we may place limits on price protection, we may be required to provide substantial price protection to maintain our relationships with retailers and our distribution partners.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ind w:firstLine="648"/>
        <w:spacing w:after="0" w:line="270" w:lineRule="auto"/>
        <w:rPr>
          <w:sz w:val="20"/>
          <w:szCs w:val="20"/>
          <w:color w:val="auto"/>
        </w:rPr>
      </w:pPr>
      <w:r>
        <w:rPr>
          <w:rFonts w:ascii="Arial" w:cs="Arial" w:eastAsia="Arial" w:hAnsi="Arial"/>
          <w:sz w:val="17"/>
          <w:szCs w:val="17"/>
          <w:color w:val="auto"/>
        </w:rPr>
        <w:t>Further, retailers typically have a limited amount of “brick and mortar” shelf space and promotional resources, and there is intense competition for high-quality retail shelf space and promotional support from retailers. Similarly, for online retail sales, there is increasing competition for premium placement on websites. Competition for shelf space or premium online placement may intensify and require us to increase our marketing expenditures. Additionally, retailers with limited shelf space typically devote the most and highest quality shelf space to those products expected to be best sellers, such as those perceived to be “AAA” titles. We cannot be certain that our new products will achieve such “best seller” status. Due to increased competition for limited shelf space, retailers and distribution partners are in an increasingly strong position to negotiate favorable terms of sale, including price discounts, price protection and marketing and display fees, as applicable. Our products constitute a relatively small percentage of most retailers’ sales volume. We cannot be certain that retailers will continue to purchase our products or provide those products with adequate levels of shelf space and promotional support on acceptable terms.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We primarily depend on a single third-party distribution partner to distribute our games for the retail channel, and our ability to negotiate favorable terms with such partner and its continued willingness to purchase our games is critical for our business.</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discussed above, our products are sold primarily through a distribution network with exclusive partners that specialize in the distribution of games and, in turn, sell our products to retailers. We currently derive, and expect to continue to derive, significant revenues from sales of our products to a very limited number of distribution partners. For the year ended December 31, 2019, we had one distribution partner through which we sold substantially all of our products for the retail market, which represented approximately 40% of our total revenue for the year ended December 31, 2019. This concentration of sales to a single distribution partner could lead to a disruption to our business if this partner significantly reduces its purchases or ceases to offer our products. We also could be more vulnerable to collection risk if this partner experiences a deterioration of its business or declares bankruptcy. Having a significant portion of our retail sales concentrated through a single distribution partner could also reduce our negotiating leverage. Accordingly, if we are unable to negotiate favorable terms with our existing or future distribution partners, our business and results of operations could be adversely affected.</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digital entertainment and social platform, www.motorsportgames.com, and our other current and future digital entertainment and social platforms, are dependent on our ability to provide interesting and useful high-quality content.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The quality of the content offered on </w:t>
      </w:r>
      <w:r>
        <w:rPr>
          <w:rFonts w:ascii="Arial" w:cs="Arial" w:eastAsia="Arial" w:hAnsi="Arial"/>
          <w:sz w:val="16"/>
          <w:szCs w:val="16"/>
          <w:i w:val="1"/>
          <w:iCs w:val="1"/>
          <w:color w:val="auto"/>
        </w:rPr>
        <w:t>www.motorsportgames.com</w:t>
      </w:r>
      <w:r>
        <w:rPr>
          <w:rFonts w:ascii="Arial" w:cs="Arial" w:eastAsia="Arial" w:hAnsi="Arial"/>
          <w:sz w:val="16"/>
          <w:szCs w:val="16"/>
          <w:color w:val="auto"/>
        </w:rPr>
        <w:t xml:space="preserve"> and our other current and future digital entertainment and social platforms is critical to the success of such platforms. In order to attract and retain users, we must offer interesting and useful high-quality content and enhance our users’ viewing experience. Further, we must remain sensitive to and responsive to evolving user preferences and offer content that appeals to our users. For example, in 2021, we plan to develop and produce live original reality television shows that include interactive broadcasts, live streaming, and social media-oriented programs (including on Twitch.tv, YouTube, Facebook, Motorsport.tv and other potential partners) for our own over-the-top (“OTT”) racing esports channel, which we expect to host on APEX, our go-to destination for the virtual racing community that we are currently developing</w:t>
      </w:r>
      <w:r>
        <w:rPr>
          <w:rFonts w:ascii="Arial" w:cs="Arial" w:eastAsia="Arial" w:hAnsi="Arial"/>
          <w:sz w:val="16"/>
          <w:szCs w:val="16"/>
          <w:i w:val="1"/>
          <w:iCs w:val="1"/>
          <w:color w:val="auto"/>
        </w:rPr>
        <w:t>.</w:t>
      </w:r>
      <w:r>
        <w:rPr>
          <w:rFonts w:ascii="Arial" w:cs="Arial" w:eastAsia="Arial" w:hAnsi="Arial"/>
          <w:sz w:val="16"/>
          <w:szCs w:val="16"/>
          <w:color w:val="auto"/>
        </w:rPr>
        <w:t xml:space="preserve"> If we are unable to generate quality content satisfactory to our users, we may suffer from reduced user traffic, which could negatively impact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business is partly dependent on our ability to enter into successful software development arrangements with third parties.</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rely on third-party software developers for the partial development of all of our titles, and in the future, we expect to continue to rely on third-party software developers for the partial development of some of our titles. Accordingly, our success depends in part on our ability to enter into successful software development arrangements with such third-party developers. Generally, quality third-party developers are continually in high demand. Software developers who have helped develop titles for us in the past may not be available to develop software for us in the future for various reasons, including their engagement on other projects. Due to the limited number of quality third-party software developers and the limited control that we exercise over them, these developers may not be able to complete titles for us on a timely basis, within acceptable quality standards, or at all. Additionally, we have entered into agreements with certain third parties to use licensed intellectual property in our titles. These agreements typically require us to make development payments, pay license fees and satisfy other conditions. Our development payments may not be sufficient to permit developers to develop new software successfully, which could result in material delays and significantly increase our costs in bringing particular products to market.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agreements may be terminated or modified in ways that are burdensome to us, and have a material adverse effect on our business, financial condition and operating results.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 depends in part on the success and availability of platforms and mass media channels developed by third parties and our ability to develop commercially successful content, products, and services for those platforms.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success of our business is driven in part by the commercial success and adequate supply of third-party platforms for which we develop our products and services or through which our products and services are distributed or marketed, including our league tournaments and competitions, such as through Twitch. Our success also depends on our ability to accurately predict which channels, platforms and distribution methods will be successful in the marketplace, our ability to develop commercially successful content, products and services for these platforms, our ability to simultaneously manage products and services on multiple platforms, our ability to effectively transition our products and services to new platforms, and our ability to effectively manage the transition of our gamers from one generation or demographic to the next. We must make product development decisions and commit significant resources well in advance of the commercial availability of new platforms and channels, and we may incur significant expense to adjust our product portfolio and development efforts in response to changing consumer preferences. Additionally, we may enter into certain exclusive licensing arrangements that affect our ability to deliver or market products or services on certain channels and platforms. A platform for which we are developing products and services may not succeed as expected or new platforms may take market share and interactive entertainment consumers away from platforms for which we have devoted significant resources. If consumer demand for the channels or platforms for which we are developing products and services is lower than our expectations, we may be unable to fully recover the investments we have made in developing our products and services, and our financial performance will be harmed. Alternatively, a channel or platform for which we have not devoted significant resources could be more successful than we initially anticipated, causing us to not be able to take advantage of meaningful revenue opportunities.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platform providers may be able to influence our products and costs.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plan to derive significant revenues from the distribution of certain of our future products on third-party mobile and web platforms, such as the Apple App Store, the Google Play Store, and Facebook. These platforms may also serve as significant online distribution platforms for, and/or provide other services critical for the operation of, a number of our games. If these platforms modify their current or future discovery mechanisms, communication channels available to developers, operating systems, terms of service or other policies (including fees), or they develop their own competitive offerings, our business could be negatively impacted. Additionally, if these platform providers are required to change how they label free-to-play games or take payment for in-app purchases or change how the personal information of consumers is made available to developers, our business could be negatively impacted.</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Moreover, when we develop interactive entertainment software products for hardware platforms offered by companies such as Sony, Microsoft, or Nintendo, the physical products are replicated exclusively by that hardware manufacturer or their approved replicator. The agreements with these manufacturers typically include 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In addition, because each of the manufacturers is also a publisher of games for its own hardware platforms and may manufacture products for other licensees, a manufacturer may give priority to its own products or those of our competitors. Accordingly, console manufacturers like Sony, Microsoft, or Nintendo could cause unanticipated delays in the release of our products, as well as increases to projected development, manufacturing, marketing or distribution costs, any of which could negatively impact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648"/>
        <w:spacing w:after="0" w:line="271" w:lineRule="auto"/>
        <w:rPr>
          <w:sz w:val="20"/>
          <w:szCs w:val="20"/>
          <w:color w:val="auto"/>
        </w:rPr>
      </w:pPr>
      <w:r>
        <w:rPr>
          <w:rFonts w:ascii="Arial" w:cs="Arial" w:eastAsia="Arial" w:hAnsi="Arial"/>
          <w:sz w:val="17"/>
          <w:szCs w:val="17"/>
          <w:color w:val="auto"/>
        </w:rPr>
        <w:t>The platform providers also control the networks over which consumers purchase digital products and services for their platforms and through which we provide online game capabilities for our products. The control that the platform providers have over the fee structures and/or retail pricing for products and services for their platforms and online networks could impact the volume of purchases of our products made over their networks and our profitability. With respect to certain downloadable content and microtransactions, the networks provided by these platform providers are the exclusive means of selling and distributing this content. Further, increased competition for limited premium “digital shelf space” has placed the platform providers in an increasingly better position to negotiate favorable terms of sale. If the platform provider establishes terms that restrict our offerings on its platform, significantly changes the financial terms on which these products or services are offered, or does not approve the inclusion of online capabilities in our console products, our business could be negatively impacted.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increasing importance of free-to-play games to our business exposes us to the risks of that business model, including the dependence on a relatively small number of consumers for a significant portion of revenues and profits from any given game.</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Currently, only our NASCAR Heat Mobile title is a free-to-play game, but the success of our business is partially dependent on our ability to develop, enhance and monetize additional free-to-play games. As such, we are increasingly exposed to the risks of the free-to-play business model. For example, we may invest in the development of new free-to-play interactive entertainment products that do not achieve significant commercial success, in which case our revenues from those products likely will be lower than anticipated and we may not recover our development costs. Further, if: (1) we are unable to continue to offer free-to-play games that encourage consumers to purchase our virtual currency and subsequently use it to buy our virtual items;</w:t>
      </w:r>
    </w:p>
    <w:p>
      <w:pPr>
        <w:spacing w:after="0" w:line="2" w:lineRule="exact"/>
        <w:rPr>
          <w:sz w:val="20"/>
          <w:szCs w:val="20"/>
          <w:color w:val="auto"/>
        </w:rPr>
      </w:pPr>
    </w:p>
    <w:p>
      <w:pPr>
        <w:jc w:val="both"/>
        <w:ind w:firstLine="8"/>
        <w:spacing w:after="0" w:line="302" w:lineRule="auto"/>
        <w:tabs>
          <w:tab w:leader="none" w:pos="2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fail to offer monetization features that appeal to these consumers; (3) these consumers do not continue to play our free-to-play games or purchase virtual items at the same rate; (4) our platform providers make it more difficult or expensive for players to purchase our virtual currency; or (5) we cannot encourage significant additional consumers to purchase virtual items in our free-to-play games, our business may be negatively impacted.</w:t>
      </w:r>
    </w:p>
    <w:p>
      <w:pPr>
        <w:spacing w:after="0" w:line="15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Furthermore, as there are relatively low barriers to entry to developing mobile or online free-to-play or other casual games, we expect new competitors to enter the market and existing competitors to allocate more resources to developing and marketing competing games and applications. We compete, or may compete, with a vast number of small companies and individuals who are able to create and launch casual games and other content using relatively limited resources and with relatively limited start-up time or expertise. Competition for the attention of consumers on mobile devices is intense, as the number of applications on mobile devices has been increasing dramatically, which, in turn, has required increased marketing to garner consumer awareness and attention. This increased competition could negatively impact our business. In addition, a continuing industry shift to free-to-play games could result in a deprioritization of our other products by traditional retailers and distributors.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risks associated with operating in a rapidly developing industry and a relatively new market.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Many elements of our business are unique, evolving and relatively unproven. In particular, our esports business and prospects depend on the continuing development of live streaming of competitive esports gaming. The market for esports and amateur online gaming competitions is relatively new and rapidly developing and is subject to significant challenges. Our business relies upon our ability to cultivate and grow an active gamer community, and our ability to successfully monetize such community through tournament fees, subscriptions for our esports gaming services, and advertising and sponsorship opportunities. In addition, our continued growth depends, in part, on our ability to respond to constant changes in the esports gaming industry, including rapid technological evolution, continued shifts in gamer trends and demands, frequent introductions of new games and titles and the constant emergence of new industry standards and practices. Developing and integrating new games, titles, content, products, services or infrastructure could be expensive and time-consuming, and these efforts may not yield the benefits we expect to achieve. We cannot assure you that we will succeed in any of these aspects or that the esports gaming industry will continue to grow as rapidly as it has in the past.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We plan to continue to generate a portion of our revenues from advertising and sponsorship during our esports events. If we fail to attract more advertisers and sponsors to our gaming platform, tournaments or competitions, our revenues may be adversely affected.</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continue to generate a portion of our revenues from advertising and sponsorship during our esports events as online viewership of our esports gaming offerings expand. Our revenues from advertising and sponsorship partly depend on the continual development of the online advertising industry and advertisers’ willingness to allocate budgets to online advertising in the esports gaming industry. In addition, companies that decide to advertise or promote online may utilize more established methods or channels, such as more established internet portals or search engines, over advertising on our gaming platform. If the online advertising and sponsorship market does not continue to grow, or if we are unable to capture and retain a sufficient share of that market, our ability to increase our current level of advertising and sponsorship revenue and our profitability and prospects may be materially and adversely affected.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reliant on the retention of certain key personnel and the hiring of strategically valuable personnel, and we may lose or be unable to hire one or more of such personnel</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success depends in part on the continued service of our founders, senior management team, key technical employees and other highly skilled personnel and on our ability to identify, hire, develop, motivate, retain and integrate highly qualified personnel for all areas of our organization. Certain employees, such as game designers, product managers and engineers, are in high demand, and we devote significant resources to identifying, hiring, training, successfully integrating and retaining these employees. We have historically hired a number of key personnel through acquisitions, and as competition with several other game companies increases, we may incur significant expenses in continuing this practice. If we are unable to attract and retain the necessary personnel, particularly in critical areas of our business, we may not achieve our strategic goals.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Competition in the interactive entertainment industry is intense, and our existing and potential users may be attracted to competing products or other forms of entertainment.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compete with other publishers of interactive entertainment software, both within and outside the United States. Generally, some of our competitors include very large corporations with significantly greater financial, marketing and product development resources than we have.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In addition, competitors with large portfolios and popular games typically have greater influence with platform providers, retailers, distributors and other customers who may, in turn, provide more favorable support to those competitors’ games.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the esports gaming industry generally is highly competitive. For our esports business, our competitors range from established leagues and championships owned directly, as well as leagues franchised by, well-known and capitalized game publishers and developers, interactive entertainment companies and diversified media companies to emerging start-ups, and we expect new competitors to continue to emerge throughout the amateur esports gaming ecosystem. If our competitors develop and launch competing amateur city leagues, tournaments or competitions, or develop a more successful amateur online gaming platform for games similar to ours, then our revenue, margins, and profitability will decline.</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Additionally, we compete with other forms of entertainment and leisure activities. As our business continues to expand in complexity and scope, we have increased exposure to additional competitors, including those with access to large existing user bases and control over distribution channels. Further, it is difficult to predict and prepare for rapid changes in consumer demand that could materially alter public preferences for different forms of entertainment and leisure activities. Failure to adequately identify and adapt to these competitive pressures could negatively impact our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Our revenue may be harmed by the proliferation of “cheating” programs and scam offers that seek to exploit our games and players, which may negatively affect players’ game-playing experiences and our ability to reliably validate our audience metric reporting and may lead players to stop playing our games.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Unrelated third parties have developed, and may continue to develop, “cheating” programs that enable players to exploit vulnerabilities in our games, play them in an automated way, collude to alter the intended game play or obtain unfair advantages over other players who do play fairly. These programs harm the experience of players who play fairly and may reduce the demand for virtual items, disrupting our in-game economy. If we are unable to discover and disable these programs quickly, our operations may be disrupted, our reputation may be damaged, players may stop playing our games and our ability to reliably validate our audience metrics may be negatively affected. These “cheating” programs and scam offers may result in lost revenue from paying players, disrupt our in-game economies, divert our personnel’s time, increase costs of developing technological measures to combat these programs and activities, increase our customer service costs needed to respond to dissatisfied players, and lead to legal claims.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Some of our players may make sales or purchases of virtual items used in our games through unauthorized or fraudulent third-party websites, which may reduce our revenue.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Virtual items in our games have no monetary value outside of our games. Nonetheless, some of our players may make sales and/or purchases of our virtual items through unauthorized third-party sellers in exchange for real currency. These unauthorized or fraudulent transactions are usually arranged on third-party websites. The virtual items offered may have been obtained through unauthorized means such as exploiting vulnerabilities in our games, scamming our players with fake offers for virtual items or other game benefits, or credit card fraud. We do not generate any revenue from these transactions. These unauthorized purchases and sales from third-party sellers could impede our revenue and profit growth by, among other things:</w:t>
      </w:r>
    </w:p>
    <w:p>
      <w:pPr>
        <w:spacing w:after="0" w:line="16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decreasing revenue from authorized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creating downward pressure on the prices we charge players for our virtual currency and virtual items;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chargebacks from unauthorized credit card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causing us to lose revenue from dissatisfied players who stop playing a particular game;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costs we incur to develop technological measures to curtail unauthorized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resulting in negative publicity or harming our reputation with players and partners;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customer support costs to respond to dissatisfied players.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our efforts to prevent or minimize these unauthorized or fraudulent transactions will be successful.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success of our business relies heavily on our marketing and branding efforts, and these efforts may not be successful.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with potential customers. We currently advertise through a blend of direct and indirect advertising channels, including through activities on Facebook, Twitter, Twitch, YouTube and other online social networks, online advertising, public relations activity,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 We recorded approximately $3.8 million of sales and marketing expenses for the year ended December 31,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color w:val="auto"/>
        </w:rPr>
        <w:t>Our business model is dependent in part on the success of our marketing and branding efforts. If we are unable to recover our marketing costs, or if our broad marketing campaigns are not successful or are terminated, it could have a material adverse effect on our growth, results of operations and financial condition.</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of our gaming products are subject to ratings by the Entertainment Software Rating Board (the “ESRB”), a self-regulatory body based in the U.S. that provides U.S. and Canadian consumers of interactive entertainment software with ratings information, including information on the content in 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stores use other ratings systems, such as Apple Inc.’s (“Apple”) use of its proprietary “App Rating System” and Google Play’s use of the International Age Rating Coalition (IARC) rating system.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although lawsuits seeking damages for injuries allegedly suffered by third parties as a result of video games have generally been unsuccessful in the courts, claims of this kind may be asserted and be successful in the future.</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We rely on Internet search engines and social networking sites to help drive traffic to our website, and if we fail to appear prominently in search results or fail to drive traffic through paid advertising, our traffic would decline and our business would be adversely affected.</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depend in part on Internet search engines such as Google, Bing and Yahoo! and social networking sites such as Facebook to drive traffic to our websites. Our ability to maintain and increase the number of visitors directed to our websites is not entirely within our control. Our competitors may increase their search engine optimization efforts and outbid us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or if our competitors’ efforts are more successful than ours, overall growth in our customer base could slow or our customer base could decline. Our websites have experienced fluctuations in search result rankings in the past, and we anticipate similar fluctuations in the future. Any reduction in the number of users directed to our website through Internet search engines could harm our business and operating results.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 regulations applicable to us may negatively impact our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subject to a number of foreign and domestic laws and regulations that affect companies conducting business on the Internet. In addition, laws and regulations relating to user privacy, electronic contracts and communications, mobile communications, data collection, retention, consumer protection, OTT and publishing activities, including production and delivery of content, advertising, localization, and information security have been adopted or are being considered for adoption by many jurisdictions and countries throughout the world. These laws, including the General Data Protection Regulation and the California Consumer Privacy Act, which have restricted our ability to gather and use data about our users, could harm our business by limiting the products and services we can offer consumers or the manner in which we offer them. Data privacy, data protection, localization, security and consumer-protection laws are evolving, and the interpretation and application of these laws in the United States (including compliance with the California Consumer Privacy Act), Europe (including compliance with the General Data Protection Regulation), and elsewhere often are uncertain, contradictory and changing. It is possible that these laws may be interpreted or applied in a manner that is averse to us or otherwise inconsistent with our practices, which could result in litigation, regulatory investigations and potential legal liability or require us to change our practices in a manner adverse to our business. As a result, our reputation and brand may be harmed, we could incur substantial costs, and we could lose both gamers and revenue. Furthermore, the costs of compliance with these laws may increase in the future as a result of changes in interpretation. Any failure on our part to comply with these laws or the application of these laws in an unanticipated manner may harm our business and result in penalties or significant legal liability.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ind w:firstLine="648"/>
        <w:spacing w:after="0" w:line="254" w:lineRule="auto"/>
        <w:rPr>
          <w:sz w:val="20"/>
          <w:szCs w:val="20"/>
          <w:color w:val="auto"/>
        </w:rPr>
      </w:pPr>
      <w:r>
        <w:rPr>
          <w:rFonts w:ascii="Arial" w:cs="Arial" w:eastAsia="Arial" w:hAnsi="Arial"/>
          <w:sz w:val="18"/>
          <w:szCs w:val="18"/>
          <w:color w:val="auto"/>
        </w:rPr>
        <w:t>Certain of our business models could be subject to new laws or regulations or evolving interpretations of existing laws and regulations. For example, the growth and development of electronic commerce, virtual items and virtual currency has prompted calls for laws and regulations that could limit or restrict the sale of our products and services or otherwise impact our products and services. In addition, we include modes in our games that allow players to compete against each other and manage player competitions that are based on our products and services. New laws related to these business models, or changes in the interpretation of current laws that impact these business models, could subject us to additional regulation and oversight, lessen the engagement with, and growth of, profitable business models, and expose us to increased compliance costs, significant liability, penalties and harm to our reputation and brand.</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laws in certain foreign countries, and adhere to industry standards in the United States, that mandate rating requirements or set other restrictions on the advertisement or distribution of interactive entertainment software based on content. In addition, certain foreign countries allow government censorship of interactive entertainment software products. Adoption of ratings systems, censorship or restrictions on distribution of interactive entertainment software based on content could harm our business by limiting the products we are able to offer to our customers. In addition, compliance with new and possibly inconsistent regulations for different territories could be costly, delay or prevent the release of our products in those territories.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212529"/>
        </w:rPr>
        <w:t>Companies and governmental agencies may restrict access to platforms, our website, mobile applications or the Internet generally, which could lead to the loss or slower growth of our player base.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Our players generally need to access the Internet and platforms such as the Apple App Store, Google Play Store, Facebook, or our gaming platform to play many of our games. Companies and governmental agencies could block access to any platform, our website, mobile applications or the Internet generally for a number of reasons such as security or confidentiality concerns or regulatory reasons, or they may adopt policies that prohibit employees from accessing Apple, Google, Facebook, and our website or any social platform. If companies or governmental entities block or limit access or otherwi</w:t>
      </w:r>
      <w:r>
        <w:rPr>
          <w:rFonts w:ascii="Arial" w:cs="Arial" w:eastAsia="Arial" w:hAnsi="Arial"/>
          <w:sz w:val="18"/>
          <w:szCs w:val="18"/>
          <w:color w:val="000000"/>
        </w:rPr>
        <w:t>se adopt policies restricting players from playing our games, our business could be negatively impacted and we could lose or experience slower</w:t>
      </w:r>
      <w:r>
        <w:rPr>
          <w:rFonts w:ascii="Arial" w:cs="Arial" w:eastAsia="Arial" w:hAnsi="Arial"/>
          <w:sz w:val="18"/>
          <w:szCs w:val="18"/>
          <w:color w:val="212529"/>
        </w:rPr>
        <w:t xml:space="preserve"> </w:t>
      </w:r>
      <w:r>
        <w:rPr>
          <w:rFonts w:ascii="Arial" w:cs="Arial" w:eastAsia="Arial" w:hAnsi="Arial"/>
          <w:sz w:val="18"/>
          <w:szCs w:val="18"/>
          <w:color w:val="000000"/>
        </w:rPr>
        <w:t>growth in our player base.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adequately address the shift to mobile device technology by our customers, operating results could be harmed and our growth could be negatively affected.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Consumers are increasingly using their mobile devices for entertainment, including for playing mobile games. According to Barclays, mobile gaming is estimated to represent 46% of current industry revenues and is expected to reach 60% by 2025. Further, with a projected 2.6 billion total mobile gamers for 2020 according to data from NewZoo, mobile games are forecasted to generate revenues of $77.2 billion in 2020. As a result, our future success depends in part on our ability to provide adequate functionality for mobile gamers. The shift to mobile technology by our users may harm our business in the following ways:</w:t>
      </w:r>
    </w:p>
    <w:p>
      <w:pPr>
        <w:spacing w:after="0" w:line="188" w:lineRule="exact"/>
        <w:rPr>
          <w:sz w:val="20"/>
          <w:szCs w:val="20"/>
          <w:color w:val="auto"/>
        </w:rPr>
      </w:pPr>
    </w:p>
    <w:p>
      <w:pPr>
        <w:jc w:val="both"/>
        <w:ind w:left="980" w:hanging="324"/>
        <w:spacing w:after="0" w:line="259"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Customers visiting our website from a mobile device may not accept mobile technology as a viable long-term platform to play. This may occur for a number of reasons, including our ability to provide the same level of website functionality to a mobile device that we provide on a desktop computer, the actual or perceived lack of security of information on a mobile device and possible disruptions of service or connectivity.</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continue to innovate and introduce enhanced products that can be suitably conveyed on mobile platforms.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Consumers using mobile devices may believe that our competitors offer superior products and features based in part on our inability to provide sufficient website functionality to convince a mobile device user to transact with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ind w:firstLine="648"/>
        <w:spacing w:after="0" w:line="277"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or consumers do not play our mobile gaming products, our business and operating results could be harmed.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exposed to seasonality in the sale of our retail products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interactive entertainment industry is seasonal, with the highest levels of consumer demand occurring during and around the launch of the seasonal annual update of a racing series product, the overall start of the racing season, and the calendar year-end holiday buying season. Receivables and credit risk are likewise higher during these periods, as retailers increase their purchases of our products in anticipation of increased demand. Delays in development, approvals or manufacturing could affect the timing of the release of products, causing us to miss key selling periods, which could negatively impact our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retail products, online gaming platform and games offered through our gaming platform may contain defects.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retail products, online gaming platform and the games offered through our gaming platform are extremely complex and are difficult to develop and distribute. We have quality controls in place to detect defects in our retail products and gaming platform before they are released. Nonetheless, these quality controls are subject to human error, overriding, and resource or technical constraints. Further, we have not undertaken independent third-party testing, verification or analysis of our gaming platform and associated systems and controls. Therefore, our products, gaming platform and quality controls and the preventative measures we have implemented may not be effective in detecting all defects in our products and gaming platform. In the event a significant defect in our retail products, gaming platform and associated systems and controls is realized, we could be required to offer refunds, suspend the availability of our esports events and other gameplay, or expend significant resources to cure the defect, each of which could significantly harm our business and operating results.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held liable for information or content displayed on, retrieved from or linked to our gaming platform, or distributed to our users.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interactive live streaming platform enables gamers to exchange information and engage in various other online activities. Although we require our gamers to register under their real names, we do not require user identifications used and displayed during gameplay to contain any real-name information, and hence we are unable to verify the sources of all the information posted by our gamers. In addition, because a majority of the communications on our online and in-person gaming platform is conducted in real time, we are unable to examine the content generated by gamers before it is posted or streamed. Therefore, it is possible that gamers may engage in illegal, obscene or incendiary conversations or activities, including publishing of inappropriate or illegal content. If any content on our platform is deemed illegal, obscene or incendiary, or if appropriate licenses and third-party consents have not been obtained, claims may be brought against us for defamation, libel, negligence, copyright, patent or trademark infringement, other unlawful activities or other theories and claims based on the nature and content of the information delivered on or otherwise accessed through our platform. Moreover, the costs of compliance may continue to increase when more content is made available on our platform as a result of our growing base of gamers, which may adversely affect our results of operations.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currently generate, and intend to generate in the future, revenue through offering advertising within certain of our franchises. The content of in-game advertisements is generally created and delivered by third-party advertisers without our pre-approval, and, as such, objectionable content may be published in our games by these advertisers. This objectionable third party-created content may expose us to regulatory action or claims related to content, or otherwise negatively impact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We may experience security breaches and cyber threats.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continually face cyber risks and threats that seek to damage, disrupt or gain access to our networks and our gaming platform, supporting infrastructure, intellectual property and other assets. In addition, we rely on technological infrastructure, including third-party cloud hosting and broadband, provided by third-party business partners to support the in-person and online functionality of our gaming platform. These business partners are also subject to cyber risks and threats. Such cyber risks and threats may be difficult to detect, and the techniques that may be used to obtain unauthorized access or disable, degrade, exploit or sabotage our networks and gaming platform change frequently and often are not detected. Our systems and processes to guard against cyber risks and to help protect our data and systems, and the systems and processes of our third-party business partners, may not be adequate. Any failure to prevent or mitigate security breaches or cyber risks, or respond adequately to a security breach or cyber risk, could result in interruptions to our gaming platform, degrade the gamer experience, cause gamers to lose confidence in our gaming platform and cease utilizing it, as well as significant legal and financial exposure. This could harm our business and reputation, disrupt our relationships with partners and diminish our competitive position.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our data privacy and security practices are inadequate, or are perceived as being inadequate, to prevent data breaches, or under the applicable data privacy and security laws generally.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course of our business, we may collect, process, store and use gamer and other information, including personally identifiable information, passwords and credit card information. Our security controls, policies and practices may not be able to prevent the improper or unauthorized access, acquisition or disclosure of such information. The unauthorized access, acquisition or disclosure of this information, or a perception that we do not adequately secure this information, could result in legal liability, costly remedial measures, governmental and regulatory investigations, harm our profitability and reputation and cause our financial results to be materially affected. In addition, third-party vendors and business partners receive access to information that we collect. These vendors and business partners may not prevent data security breaches with respect to the information we provide them or fully enforce our policies, contractual obligations and disclosures regarding the collection, use, storage, transfer and retention of personal data. A data security breach of one of our vendors or business partners could cause reputational harm to them and/or negatively impact our credibility to our gamer community.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depend on servers and Internet bandwidth to operate our games and digital services with online features. If we were to lose server capacity or lack sufficient Internet bandwidth for any reason, our business could suffer.</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rely on data servers, including those owned or controlled by third parties, to enable our customers to download our games and other downloadable content, to access our online gaming platform, and to operate our online games and other products with online functionality. Events such as limited hardware failure, any broad-based catastrophic server malfunction, a significant intrusion by hackers that circumvents security measures, or a failure of disaster recovery services would likely interrupt the functionality of our games with online services and could result in a loss of sales for games and related services. An extended interruption of service could materially adversely affect our business, financial condition and operating results. See “— Risks Related to Our Business and Industry—A significant disruption in service on our website or platforms could damage our reputation and result in a loss of traffic and visitors, which could harm our business, brand, operating results and financial condition” for additional information.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underestimate the amount of server capacity our business requires or if our business were to grow more quickly than expected, our consumers may experience service problems, such as slow or interrupted gaming access. Insufficient server capacity may result in decreased sales, a loss of our consumer base and adverse consequences to our reputation. Conversely, if we overestimate the amount of server capacity required by our business, we may incur additional operating costs.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Because of the importance of our online business to our revenues and results of operations, our ability to access adequate Internet bandwidth and online computational resources to support our business is critical. If the price of either such resource increases, we may not be able to increase our prices or subscriber levels to compensate for such costs, which could materially adversely affect our business, financial condition and operating results.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 or platforms could damage our reputation and result in a loss of traffic and visitors, which could harm our business, brand, operating results and financial condition.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brands, reputation and ability to attract gamers or visitors depend on the reliable performance of our games, website and the supporting systems, technology and infrastructure. We may experience significant interruptions with our systems in the future. Interruptions in these systems, whether due to system failures, programming or configuration errors, computer viruses, or physical or electronic break-ins, could affect the availability of our inventory on our website and prevent or inhibit the ability of customers to access our website. Problems with the reliability or security of our systems could harm our reputation, result in a loss of customers and result in additional costs.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Substantially all of the communications, network and computer hardware used to operate our websites are located at co-location facilities. Although we have multiple locations, our systems are not fully redundant. In addition, we do not own or control the operation of these facilities. Our systems and operations are vulnerable to damage or interruption from fire, flood, power loss, telecommunications failure, terrorist attacks, acts of war, electronic and physical break-ins, computer viruses, earthquakes, and similar events. The occurrence of any of these events could damage our systems and hardware or could cause them to fail.</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Problems faced by our third-party web hosting providers could adversely affect the experience of our customers. For example, our third-party web hosting providers could close their facilities without adequate notice. Any financial difficulties, up to and including bankruptcy, faced by our third-party web hosting providers or any of the service providers with whom they contract may have negative effects on our business, the nature and extent of which are difficult to predict. If our third-party web hosting providers are unable to keep up with our growing capacity needs, our business could be harmed.</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errors, defects, disruptions, or other performance or reliability problems with our network operations could interrupt our customers’ access to our inventory and our access to data that drives our inventory listing operations, as well as cause delays and additional expense in arranging access to video and digital content and services, any of which could harm our reputation, business, operating results and financial condition.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partners may be unable to honor their obligations to us or their actions may put us at risk.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rely on various business partners, including third-party service providers, vendors, licensing partners, development partners, and licensees in many areas of our business. Their actions may put our business and our reputation and brand at risk. For example, we may have disputes with our business partners that may impact our business and/or financial results. In many cases, our business partners may be given access to sensitive and proprietary information in order to provide services and support to our teams, and they may misappropriate our information and engage in unauthorized use of it. In addition, the failure of these third parties to provide adequate services and technologies, or the failure of the third parties to adequately maintain or update their services and technologies, could result in a disruption to our business operations. Further, disruptions in the financial markets, economic downturns, poor business decisions, insolvency, or reputational harm may adversely affect our business partners, and they may not be able to continue honoring their obligations to us or we may cease our arrangements with them. Alternative arrangements and services may not be available to us on commercially reasonable terms, or we may experience business interruptions upon a transition to an alternative partner or vendor. If we lose one or more significant business partners, including due to their insolvency or business failure, our business could be harmed and our financial results could be materially affected.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Failure to adequately protect our intellectual property, technology and confidential information could harm our business and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depends on our intellectual property, technology and confidential information, the protection of which is crucial to the success of our business. We rely on a combination of patent, trademark, trade secret and copyright law and contractual restrictions to protect our intellectual property, technology and confidential information. In addition, we attempt to protect our intellectual property, technology and confidential information by requiring certain of our employees and consultants to enter into confidentiality and assignment of inventions agreements and certain third parties to enter into nondisclosure agreements. These agreements may not effectively grant all necessary rights to any inventions that may have been developed by the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to be proprietary. Changes in the law or adverse court rulings may also negatively affect our ability to prevent others from using our technology.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ind w:firstLine="648"/>
        <w:spacing w:after="0" w:line="311" w:lineRule="auto"/>
        <w:rPr>
          <w:sz w:val="20"/>
          <w:szCs w:val="20"/>
          <w:color w:val="auto"/>
        </w:rPr>
      </w:pPr>
      <w:r>
        <w:rPr>
          <w:rFonts w:ascii="Arial" w:cs="Arial" w:eastAsia="Arial" w:hAnsi="Arial"/>
          <w:sz w:val="16"/>
          <w:szCs w:val="16"/>
          <w:color w:val="auto"/>
        </w:rPr>
        <w:t>We currently lease or hold rights to certain domain names associated with our business.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all domain names that are otherwise important for our business.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212529"/>
        </w:rPr>
        <w:t>The costs involved in enforcement of our intellectual property rights could harm our business, financial condition and results of operations.</w:t>
      </w:r>
    </w:p>
    <w:p>
      <w:pPr>
        <w:spacing w:after="0" w:line="2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212529"/>
        </w:rPr>
        <w:t>We pursue the registration of our copyrights, trademarks, service marks, domain names, and patents in the U.S. and in certain locations outside the U.S. This process can be expensive and time-consuming, may not always be successful depending on local laws or other circumstances, and we also may choose not to pursue registrations in every location depending on the nature of the project to which the intellectual property rights pertain. We may, over time, increase our investments in protecting our creative works. Enforcement of our intellectual property rights to certain trademarks and service marks, such as NASCAR, the BTCC and/or Le Mans, will require reliance on enforcement efforts of third parties.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12529"/>
        </w:rPr>
        <w:t>Litigation may be necessary to enforce our intellectual property rights, protect our trade secrets or determine the validity and scope of proprietary rights claimed by others. Any litigation of this nature, regardless of outcome or merit, could result in substantial costs, adverse publicity, and diversion of management and technical resources, any of which could adversely affect our business, financial condition and results of operations. If we fail to maintain, protect and enhance our intellectual property rights, our business, financial condition and results of operations may be harmed.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claims of infringement of third-party intellectual property rights.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third parties may claim that we have infringed their intellectual property rights. For example, patent holding companies may assert patent claims against us in which they seek to monetize patents they have purchased or otherwise obtained. Although we take steps to avoid knowingly violating the intellectual property rights of others, it is possible that third parties still may claim infringement.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Existing or future infringement claims against us, whether valid or not, may be expensive to defend and divert the attention of our employees from business operations. Such claims or litigation could require us to pay damages, royalties, legal fees and other costs. We also could be required to stop offering, distributing or supporting our products, our gaming platform or other features or services, including esports events, which incorporate the affected intellectual property rights, redesign products, features or services to avoid infringement, or obtain a license, all of which could be costly and harm our business.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many patents have been issued that may apply to potential new modes of delivering, playing or monetizing interactive entertainment software products and services, such as those offered on our gaming platform or that we would like to offer in the future. We may discover that future opportunities to provide new and innovative modes of game play and game delivery to gamers may be precluded by existing patents that we are unable to license on reasonable terms, or at 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technology, content, and brands are subject to the threat of piracy, unauthorized copying and other forms of intellectual property infringement.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regard our technology, content, and brands as proprietary. Piracy and other forms of unauthorized copying and use of our technology, content, and brands are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factors such as the proliferation of technology designed to circumvent the protection measures used by our business partners or by us, the availability of broadband access to the Internet, the refusal of Internet service providers or platform holders to remove infringing content in certain instances, and the proliferation of online channels through which infringing product is distributed all may contribute to an expansion in unauthorized copying of our technology, content, and brands.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use open source software in our platform and expect to use open source software in the future. The term of various open source licenses has not been interpreted by United States courts, and there is a risk that such licenses could be construed in a manner that imposes unanticipated conditions or restrictions on our ability to market our software and services.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or to re-engineer all or a portion of our technologies or otherwise be limited in the licensing of our technologies, each of which could reduce or eliminate the value of our technologies and services. In addition to risks related to license requirements, usage of open source software can lead to greater risks than use of third-party commercial software, as open source licensors generally do not provide warranties or controls on the origin of the software. Many of the risks associated with usage of open source software cannot be eliminated and could negatively affect our business and operating results.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rely on third-party technology to complete critical business functions. If that technology becomes unavailable or fails to adequately serve our needs and we cannot find alternatives, it may negatively impact our operating results.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third-party technology for certain of our critical business functions, including game engines such as Unreal and Unity™, among others, as well as our back-office tools and technologies, such as enterprise resource planning, finance, development and analytics tracking systems. If these technologies fail, or otherwise become unavailable, or we cannot maintain our relationships with the technology providers and we cannot find suitable alternatives, our financial condition and operating results may be adversely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international operations are subject to increased challenges and risks.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Attracting players in international markets is a critical element of our business strategy. An important part of targeting international markets is developing offerings that are localized and customized for the players in those markets. Additionally, we currently have operations in the United Kingdom and Russia and may seek to further expand our international operations. Our ability to expand our business and to attract talented employees and players in an increasing number of international markets will require considerable management attention and resources and is subject to the particular challenges of supporting a rapidly growing business in an environment of multiple languages, cultures, customs, legal systems, alternative dispute systems, regulatory systems and commercial infrastructures. Expanding our international focus may increase risks that we currently face, including risks associated with:</w:t>
      </w:r>
    </w:p>
    <w:p>
      <w:pPr>
        <w:spacing w:after="0" w:line="16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offer certain games in certain foreign countries;</w:t>
      </w:r>
    </w:p>
    <w:p>
      <w:pPr>
        <w:spacing w:after="0" w:line="225" w:lineRule="exact"/>
        <w:rPr>
          <w:rFonts w:ascii="Arial" w:cs="Arial" w:eastAsia="Arial" w:hAnsi="Arial"/>
          <w:sz w:val="18"/>
          <w:szCs w:val="18"/>
          <w:color w:val="auto"/>
        </w:rPr>
      </w:pPr>
    </w:p>
    <w:p>
      <w:pPr>
        <w:ind w:left="5540" w:right="3480" w:hanging="4884"/>
        <w:spacing w:after="0" w:line="559" w:lineRule="auto"/>
        <w:tabs>
          <w:tab w:leader="none" w:pos="9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and retaining talented and capable management and employees in foreign countries;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developing and customizing games and other offerings that appeal to the tastes and preferences of players in international markets;</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from local game makers with intellectual property rights and significant market share in those markets and with a better understanding of local player preferences;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utilizing, protecting, defending and enforcing our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negotiating agreements with local distribution platforms that are sufficiently economically beneficial to us and protective of our rights;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extend proprietary rights in our brand, content or technology into new jurisdictions;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alternative payment methods for virtual items in a manner that complies with local laws and practices and protects us from fraud;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privacy laws and laws relating to content and consumer protection, including, but not limited to, the United States Federal Trade Commission Act, various state consumer protection and video game control laws, and the United Kingdom’s Office of Fair Trading’s 2014 principles relating to in-app purchases in free-to-play games that are directed toward children 16 and under;</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anti-bribery laws, including the Foreign Corrupt Practices Act in the United States and the Bribery Act 2010 in the United Kingdom;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businesses in some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tax laws of the U.S. or the foreign jurisdictions in which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health crises, such as the COVID-19 pandemic, which can result in varying impacts to our employees, players, vendors and commercial partners internationally;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or import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and tariff restrictions.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manage the complexity of our global operations successfully, our business, financial condition and operating results could be adversely affected. Additionally, our ability to successfully gain market acceptance in any particular market is uncertain, and the distraction of our senior management team could harm our business,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7"/>
          <w:szCs w:val="17"/>
          <w:b w:val="1"/>
          <w:bCs w:val="1"/>
          <w:i w:val="1"/>
          <w:iCs w:val="1"/>
          <w:color w:val="auto"/>
        </w:rPr>
        <w:t>The exit by the United Kingdom from the European Union could harm our business, financial condition and results of operations.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United Kingdom left the European Union on January 31, 2020 (commonly referred to as “Brexit”) and entered into a transition period in which the United Kingdom and the European Union are negotiating their future relationship, including the terms of trade between the United Kingdom and the European Union. The effects of Brexit will depend on any agreements the United Kingdom makes to retain access to European Union markets after the transitional period. Brexit could lead to legal uncertainty and potentially divergent national laws and regulations as the United Kingdom determines which European Union laws to replace or replicate.</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announcement of Brexit caused (and the post-transition period relationship between the United Kingdom and the European Union is expected to cause future) significant volatility in global stock markets and significant fluctuations in foreign currency exchange rates, which will affect our financial results as we report in U.S. dollars. The announcement of Brexit also created (and the post-transition period relationship between the United Kingdom and the European Union may create future) global economic uncertainty, which may cause our players to reduce the amount of money they spend on our games. The post-transition period relationship between the United Kingdom and the European Union could cause disruptions to and create uncertainty surrounding our business, including affecting our United Kingdom operations and relationships with existing and future players, suppliers and employees. Any of these effects of Brexit, and others we cannot anticipate, could harm our business, financial condition and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Natural disasters, cyber-incidents, weather events, wildfires, power disruptions, telecommunications failures, public health outbreaks, such as the COVID-19 pandemic, failed upgrades of existing systems or migrations to new systems, acts of terrorism or other events could cause outages, disruptions and/or degradations of our infrastructure, including our or our partners’ information technology and network systems, a failure in our ability to conduct normal business operations, or the closure of public spaces in which players engage with our games and services. The health and safety of our employees, players, third-party organizations with whom we partner or regulatory agencies on which we rely could be also affected, which may prevent us from executing our business strategies or cause a decrease in consumer demand for our products and services. System redundancy may be ineffective and our disaster recovery and business continuity planning may not be sufficient for all eventualities. Such failures, disruptions, closures, or an inability to conduct normal business operations could also prevent access to our products, services or online platforms selling our products and services, cause delays or interruptions in our product or live services offerings, allow breaches of data security or result in the loss of critical data. For example, several of our key locations have experienced temporary closures as a result of the COVID-19 pandemic. Additionally, several retailers have experienced, and continue to experience, closures, reduced operating hours and/or other restrictions as a result of the COVID-19 pandemic, which has negatively impacted the sales of our products from such retailers. An event that results in the disruption or degradation of any of our critical business functions or information technology systems and harms our ability to conduct normal business operations or causes a decrease in consumer demand for our products and services could materially impact our reputation and brand,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Motorsport Network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Motorsport Network controls the direction of our business and its ownership of our Class A common stock and Class B common stock will prevent you and other stockholders from influencing significant decisions.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the closing of this offering, Motorsport Network will own all of the shares of our Class B common stock and shares of our Class A common stock, which together will represent approximately % of the combined voting power of both classes of our common stock outstanding immediately after this offering (or % if the underwriters exercise in full their option to purchase additional shares of our Class A common stock).</w:t>
      </w:r>
    </w:p>
    <w:p>
      <w:pPr>
        <w:jc w:val="both"/>
        <w:spacing w:after="0" w:line="251" w:lineRule="auto"/>
        <w:rPr>
          <w:sz w:val="20"/>
          <w:szCs w:val="20"/>
          <w:color w:val="auto"/>
        </w:rPr>
      </w:pPr>
      <w:r>
        <w:rPr>
          <w:rFonts w:ascii="Arial" w:cs="Arial" w:eastAsia="Arial" w:hAnsi="Arial"/>
          <w:sz w:val="18"/>
          <w:szCs w:val="18"/>
          <w:color w:val="auto"/>
        </w:rPr>
        <w:t>Our Class B common stock has ten times the voting power of our Class A common stock. As long as Motorsport Network continues to control a majority of the voting power of our outstanding common stock, it will generally be able to determine the outcome of all corporate actions requiring stockholder approval, including the election and removal of directors. Even if Motorsport Network were to control less than a majority of the voting power of our outstanding common stock, it may be able to influence the outcome of such corporate actions so long as it owns a significant portion of our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If, however, Motorsport Network does not dispose of its MSN Initial Class A Shares, it could remain our controlling stockholder for an extended period of time or indefinitely.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both"/>
        <w:ind w:firstLine="648"/>
        <w:spacing w:after="0" w:line="311" w:lineRule="auto"/>
        <w:rPr>
          <w:sz w:val="20"/>
          <w:szCs w:val="20"/>
          <w:color w:val="auto"/>
        </w:rPr>
      </w:pPr>
      <w:r>
        <w:rPr>
          <w:rFonts w:ascii="Arial" w:cs="Arial" w:eastAsia="Arial" w:hAnsi="Arial"/>
          <w:sz w:val="16"/>
          <w:szCs w:val="16"/>
          <w:color w:val="auto"/>
        </w:rPr>
        <w:t>Motorsport Network’s interests may not be the same as, or may conflict with, the interests of our other stockholders. Investors in this offering will not be able to affect the outcome of any stockholder vote while Motorsport Network controls the majority of the voting power of our outstanding common stock. As a result, Motorsport Network will be able to control, directly or indirectly and subject to applicable law, all matters affecting us, including:</w:t>
      </w:r>
    </w:p>
    <w:p>
      <w:pPr>
        <w:spacing w:after="0" w:line="149"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determination with respect to our business direction and policies, including the appointment and removal of officers and directors;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the disposition of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and benefit programs and other human resources policy decisions;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determinations with respect to tax matters.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Because Motorsport Network’s interests may differ from ours or from those of our other stockholders, actions that Motorsport Network takes with respect to us, as our controlling stockholder, may not be favorable to us or our other stockholders, including holders of our Class A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no longer controlled by or affiliated with Motorsport Network, we may be unable to continue to benefit from that relationship, which may adversely affect our operations and have a material adverse effect on us.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Motorsport Network is a leading global motorsport and automotive data-driven digital platform that owns and operates a unique collection of digital media motorsport and automotive brands. As of July 2020, Motorsport Network had over 55 million unique visitors generating over 326 million monthly page views on its flagship platforms, including motorsport.com, autosport.com and motor1.com, and access to approximately 126 million viewing profiles that Motorsport Network has captured over the prior six months. Approximately 81% of this audience is male, 44% earn more than $100,000 per year and 24% have a postgraduate or master’s degree. Moreover, Motorsport Network’s audience has a median age of 34 years and includes 9 million individuals who own a gaming console. We rely, in part, on Motorsport Network to provide digital access to this audience to market, communicate and engage with users regarding our product offerings and services. Pursuant to a promotion agreement we entered into with Motorsport Network in August 2018, Motorsport Network will provide us with exclusive promotion services consisting of the use of its and its affiliates’ various media platforms to promote our business, organizations, products and services in the racing video game market and related esports activities. The promotion agreement will remain in effect until such date that Motorsport Network no longer holds at least 20% of the voting interest in Motorsport Games. If this occurs, we cannot assure you that we will continue to have access to Motorsport Network’s digital audience in the future. In the event that we no longer have access to Motorsport Network’s digital audience, our business, results of operations and financial conditions could be adversely affected.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If Motorsport Network sells a controlling interest in our Company to a third party in a private transaction, you may not realize any change-of-control premium on shares of our Class A common stock and we may become subject to the control of a presently unknown third party.</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Motorsport Network will have the ability, should it choose to do so, to sell some or all of its shares of our Class A common stock in a privately negotiated transaction, which, if sufficient in size, could result in a change of control of our Company. The ability of Motorsport Network to privately sell its shares of our Class A common stock, with no requirement for a concurrent offer to be made to acquire all of the shares of our Class A common stock that will be publicly traded hereafter, could prevent you from realizing any change-of-control premium on your shares of our Class A common stock that may otherwise accrue to Motorsport Network on its private sale of our Class A common stock. Additionally, if Motorsport Network either privately sells its significant equity interest in our Company or pledges such shares in the future and secured parties foreclose on any or all of the shares of our common stock beneficially owned by Motorsport Network, then we may become subject to the control of a presently unknown third party. Such third party may have conflicts of interest with those of other stockholders. In addition, if Motorsport Network sells a controlling interest in our Company to a third party, any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Substantial future sales of our common stock, or the perception that such sales may occur, could depress the price of our Class A common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of substantial amounts of our Class A common stock in the public market after this offering, or the perception that these sales could occur, could adversely affect the price of our Class A common stock and could impair our ability to raise capital through the sale of additional shares. The shares of our Class A common stock offered in this offering will be freely tradable without restriction under the Securities Act of 1933, as amended (the “Securities Act”), except for any shares of our Class A common stock that may be held or acquired by our directors, executive officers and other affiliates (as that term is defined in the Securities Act), including Motorsport Network, which may not be sold in the public market unless the sale is registered under the Securities Act or an exemption from registration is available.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our officers and directors and Motorsport Network expect to enter into separate agreements whereby, without the prior written consent of the underwriter, we and they will not, subject to limited exceptions, directly or indirectly sell or dispose of any shares of our common stock or any securities convertible into or exchangeable or exercisable for shares of our common stock for a period of 180 days after the date of this prospectus. See “Underwriting—No Sales of Common Stock” for additional information. After these lock-up agreements expire, additional shares of our Class A common</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stock may become eligible for sale in the public market upon the satisfaction of certain conditions as set forth therein, of which shares would be held by affiliates and subject to the volume and other restrictions of Rule 144 under the Securities Act.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will be a “controlled company” within the meaning of the rules of Nasdaq and, as a result, will qualify for exemptions from certain corporate governance requirements. We do not currently expect or intend to rely of any of these exemptions, but there can be no assurance that we will not rely on these exemptions in the future.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completion of this offering, Motorsport Network will continue to control a majority of the voting power of our outstanding common stock. As a result, we will be a “controlled company” within the meaning of the Nasdaq Listing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18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with a written charter addressing the committee’s purpose and responsibilities;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our corporate governance and compensation committees.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ind w:firstLine="648"/>
        <w:spacing w:after="0" w:line="263"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will not have the same protections afforded to stockholders of companies that are subject to all of the Nasdaq rules regarding corporate governance.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Motorsport Network’s competitive position in certain markets may constrain our ability to build and maintain certain partnerships or relationships in the motorsport industry.</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do and may partner in the future with companies that compete with Motorsport Network in certain markets relating to the motorsport industry. Motorsport Network’s control over us may affect our ability to effectively build and maintain our relationships with these companies. For example, these companies may favor our competitors over us due to our relationship with Motorsport Network and to avoid indirectly supporting Motorsport Network.</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inability to resolve in a manner favorable to us any potential conflicts or disputes that arise between us and Motorsport Network or its subsidiaries with respect to our past and ongoing relationships may adversely affect our business and prospects.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Potential conflicts or disputes may arise between Motorsport Network or its subsidiaries and us in a number of areas relating to our past or ongoing relationships, including:</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employee benefit, indemnification and other matters arising from our relationship with Motorsport Network or its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opportunities that may be attractive to us and Motorsport Network or its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joint sales and marketing activities with Motorsport Network or its subsidiaries.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resolution of any potential conflicts or disputes between us and Motorsport Network or its subsidiaries over these or other matters may be less favorable to us than the resolution we might achieve if we were dealing with an unaffiliated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significant losses since our inception, and we may continue to experience losses in the future.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been profitable since our inception and had an accumulated loss of approximately $3.1 million as of December 31, 2019. We incurred a net loss of $5.8 million for the year ended December 31, 2019. We expect to continue to incur losses in the near term as we invest in and strive to grow our business. For example, we expect to make significant investments to further develop and expand our business, and these investments may not result in increased revenue or growth on a timely basis or at all. If we are unable to generate adequate revenue growth and manage our expenses, we may continue to incur significant losses in the future and may not be able to achieve or maintain profitability.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we may not be able to effectively grow our business or implement our business strategies.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Motorsports Games was formed and started operating in August 2018 in connection with the acquisition by Motorsport Games of a controlling interest in 704Games. As such, Motorsports Games does not have a long history operating as a commercial company. Due to this and other factors, our operating results are not predictable, and our historical results may not be indicative of our future results. We believe that our ability to grow our business will depend on many risks and uncertainties, including our ability to:</w:t>
      </w:r>
    </w:p>
    <w:p>
      <w:pPr>
        <w:spacing w:after="0" w:line="187"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the number of players of our games or unique visitors to our digital platform www.motorsportgames.gg;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continue developing innovative technologies, tournaments and competitions in response to shifting demand in esports and online gaming;</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new sources of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our brand awareness;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further improve the quality of our product offerings, features and complementary products and services, and introduce high-quality new products, services and features;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introduce additional third-party products and services;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popular OTT content at an attractive cost and high quality to meet the increasing demand of viewers.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can be no assurance that we will meet these objectives. Addressing these risks and uncertainties will require significant capital expenditures and allocation of valuable management and employee resources. We have hired and expect to continue hiring additional personnel to support our business growth. Our organizational structure is becoming more complex as we add staff, and as a result, we will need to improve our operational, financial and management controls as well as our reporting systems and procedures. We will require significant capital expenditures and the allocation of valuable management resources to grow and change in these areas without undermining our corporate culture. If we cannot manage our growth effectively, our business could be harmed, and our results of operations and financial condition could be materially and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remediate these material weaknesses, or if we identify additional material weaknesses in the future, we may not be able to accurately or timely report our financial condition or results of operations, which may adversely affect our business and the trading price of our Class A common stock.</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this offering, we were a private company and had limited accounting and financial reporting personnel and other resources with which to address our internal controls and procedures. In connection with the audit of our consolidated financial statements for the year ended December 31, 2019, we and our independent registered public accounting firm identified certain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material weaknesses we identified relate to (i) the documentation of significant accounting positions, estimates and conclusions that were not contemporaneously formalized and reviewed independently of the preparer and (ii) the segregation of duties. We have taken steps toward remediating these material weaknesses, which to date have included: (1) the hiring of additional qualified finance and accounting personnel, including the hiring of a new Chief Financial Officer with SEC reporting experience; and (2) the implementation of formal policies, procedures and controls, training on standards of documentary evidence, as well as implementation of controls designed to ensure the reliability of critical spreadsheets and system generated reports.</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these actions will allow management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 Although, we’ve taken these actions, our internal control over financial reporting has not been subjected to audit. See “—Risks Related to Our Company—If we fail to maintain proper and effective internal control over financial reporting, our ability to produce accurate and timely financial statements could be impaired.”</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and applicable listing requirements, investors may lose confidence in our financial reporting, and the share price of our Class A common stock may decline as a result. In addition, we could become subject to investigations by Nasdaq, the SEC or other regulatory authorities, which could require additional financial and management resources.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efforts to expand into new products and services may subject us to additional risks.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actively investing to capitalize on new trends (e.g., tracking and experimenting with other casual gaming formats, such as a “match three” game, adopted for our audience) to diversify our product mix, reduce our operating risks, and increase our revenue. There are risks and uncertainties associated with these efforts, particularly in instances where the markets are not fully developed. There is no assurance that we will be able to attract a sufficiently large number of customers or recover costs incurred in developing and marketing any of these new products or services. For example, we may offer games that do not attract sufficient purchases of virtual currency, which may cause our investments to fail to realize the expected benefits. External factors, such as competitive alternatives and shifting market preferences, may also have an impact on the successful implementation of any new products or services. Failure to successfully manage these risks in the development and implementation of new products or services could have a material adverse effect on our business, financial condition and operating results.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are subject to management’s accounting judgments and estimates, as well as changes in accounting policies.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Financial statements prepared in accordance with U.S. GAAP typically require the use of good faith estimates, judgments and assumptions that affect the reported amounts. The preparation of our financial statements requires us to make estimates and assumptions affecting the reported amounts of our assets, liabilities, revenues and expenses. If these estimates or assumptions are incorrect, it could have a material adverse effect on our results of operations or financial condition. We have identified several accounting policies as being “critical” to the fair presentation of our financial condition and results of operations because they involve major aspects of our business and require us to make judgments about matters that are inherently uncertain. These policies are described in “Management’s Discussion and Analysis of Financial Condition and Results of Operations” and the notes to consolidated financial statements included in this prospectus. The implementation of new accounting requirements or other changes to U.S. GAAP could have a material adverse effect on our reported results of operations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disclosure requirements applicable to us will make our Class A common stock less attractive to investors.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an “emerging growth company,” as defined in the JOBS Act, and we expect to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while we are an emerging growth company,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that have adopted the new or revised accounting standards.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remain an emerging growth company until the last day of the fiscal year following the fifth anniversary of the completion of this offering, though we may cease to be an emerging growth company earlier under certain circumstances, including if (i) we have $1.07 billion or more in annual revenue in any fiscal year, (ii) we become a “large accelerated filer,” as defined in Rule 12b-2 under the Exchange Act; or (iii) we issue more than $1.0 billion of non-convertible debt over a three-year period.</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 Similar to emerging growth companies, smaller reporting companies that are non-accelerated filers are exempt from the auditor attestation requirements of Section 404(b) of the Sarbanes-Oxley Act.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completion of this offering, we will be subject to a requirement, pursuant to Section 404 of the Sarbanes-Oxley Act, to conduct an annual review and evaluation of our internal control over financial reporting and furnish a report by management on, among other things, our assessment of the effectiveness of our internal control over financial reporting each fiscal year beginning with the year following our first annual report required to be filed with the SEC. However, for as long as we are an emerging growth company or a smaller reporting company that is a non-accelerated filer, our independent registered public accounting firm will not be required to attest to the effectiveness of our internal control over financial reporting pursuant to Section 404. Ensuring that we have adequate internal control over financial reporting in place so that we can produce accurate financial statements on a timely basis is a costly and time-consuming effort that must be evaluated frequently. Establishing and maintaining these internal controls will be costly and may divert management’s attention.</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the material weaknesses in our internal control over financial reporting that we have identified, we may discover additional weaknesses in our disclosure controls and internal control over financial reporting in the future. If we fail to achieve and maintain the adequacy of our internal control over financial reporting, as such standards are modified, supplemented or amended from time to time, we may not be able to ensure that we can conclude, on an ongoing basis, that we have effective internal control over financial reporting in accordance with Section 404 of the Sarbanes-Oxley Act. We cannot be certain as to the timing of completion of our evaluation, testing and any remediation actions or the impact of the same on our operations. If we do not adequately implement or comply with the requirements of Section 404 of the Sarbanes-Oxley Act, we may be subject to sanctions or investigation by regulatory authorities, such as the SEC, or suffer other adverse regulatory consequences, including penalties for violation of Nasdaq rules. As a result, there could be a negative reaction in the financial markets due to a loss of confidence in the reliability of our financial statements. In addition, we may be required to incur costs to improve our internal control system, including the costs of the hiring of additional personnel. Any such action could negatively affect our business, financial condition, results of operations and cash flows and could also lead to a decline in the price of our Class A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i w:val="1"/>
          <w:iCs w:val="1"/>
          <w:color w:val="auto"/>
        </w:rPr>
        <w:t>The requirements of being a public company may require significant resources and divert management’s attention.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Once we become a public company, we will be subject to certain ongoing reporting requirements. Compliance with these requirements will increase our compliance costs, make some activities more difficult, time-consuming or costly and increase demands on our resources. The requirements may also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and qualified officers. Moreover, as a result of the disclosure of information in this prospectus and in other public filings we make, our business operations, operating results and financial condition will become more visible, including to competitors and other third parties.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acquire other companies, technologies, or assets, which could divert our management’s attention, result in additional dilution to our stockholders and otherwise disrupt our operations and harm our operating results.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and other constituents within the gaming industry and competitive pressures. In some circumstances, we may decide to grow through the acquisition of complementary businesses, technologies, and assets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5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transition of the acquired company’s users to our website and mobile applications;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potential write-offs of intangibles or other assets acquired in such transactions that may have an adverse effect on our operating results;</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known and unknown liability for activities of the acquired company before the acquisition, including patent and trademark infringement claims, violations of laws, commercial disputes, and tax liabilities;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or other claims resulting from the acquisition of the company, including claims from terminated employees, consumers, former stockholders, or other third parties.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failure to address these risks or other problems encountered in connection with our past or future acquisitions and investments could cause us to fail to realize the anticipated benefits of these acquisitions or investments and to incur unanticipated liabilities and otherwise harm our business. Future acquisitions could also result in dilutive issuances of our equity securities, the incurrence of debt, contingent liabilities, amortization expenses, or the write-off of goodwill, any of which could harm our financial condition. Also, the anticipated benefits of any acquisitions may not materialize. Any of these risks, if realized, could materially and adversely affect our business and results of operations.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meet our financial obligations and support business growth, and this capital might not be available on acceptable terms or at all.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intend to continue to make significant investments to support our business growth and may require additional funds to respond to business challenges, including the need to develop new games and features or enhance our existing games, improve our operating infrastructure or acquire complementary businesses, personnel and technologies. Accordingly, we may need to engage in equity or debt financings to secure additional funds. If we raise additional funds through future issuances of equity (including preferred stock) or convertible debt securities, our existing stockholders could suffer significant dilution, and any new equity securities we issue could have rights, preferences and privileges superior to those of holders of our Class A common stock, including, without limitation, in respect of the payment of dividends and the payment of liquidating distributions. Because our decision to issue debt or preferred securities in any future offering, or to borrow money from lenders, will depend in part on market conditions and other factors beyond our control, we cannot predict or estimate the amount, timing, or nature of any such future offerings or borrowings. Holders of our Class A common stock will bear the risk of any such future offerings or borrowings.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future debt financing could require compliance with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intend to grant equity incentive awards, which may result in increased share-based compensation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plan to adopt the Motorsport Games Inc. 2020 Equity Incentive Plan, which we refer to as the 2020 Plan, concurrently with the closing of this offering for purposes of granting equity compensation awards to employees, directors and consultants to incentivize their performance and better align their interests with ours. Under the 2020 Plan, we will be authorized to grant equity-based awards, including options to purchase shares of our Class A common stock, restricted stock units to receive shares of Class A common stock and restricted shares of Class A common stock. The number of shares of Class A</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common stock available for issuance under the 2020 Plan will be . In connection with the consummation of this offering, we intend to grant equity awards under the 2020 Plan to certain of our employees and our non-employee directors, as described further under “Executive Compensation—Actions Taken in Connection with This Offering.” We believe the granting of equity incentive awards is important to our ability to attract and retain employees, and we expect to continue to grant equity incentive awards to employees in the future. As a result, our expenses associated with share-based compensation may increase, which may have an adverse effect on our results of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We are, and may in the future be, subject to legal proceedings in the ordinary course of our business. If the outcomes of these proceedings are adverse to us, it could have a material adverse effect on our business, results of operations and financial condition.</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various legal proceedings, claims, litigation and government investigations or inquiries from time to time, which could have a material adverse effect on our business, results of operations and financial condition. Claims arising out of actual or alleged violations of law could be asserted against us by individuals, either individually or through class actions, by governmental entities in civil or criminal investigations and proceedings or by other parties.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broad discretion in how we use the proceeds of this offering and may not use them effectively.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have considerable discretion in the application of the net proceeds of this offering. We intend to use the net proceeds from this offering for working capital and general corporate purposes, including product development, such as for mobile products and additional racing series, the buildout of APEX, the development of our proprietary racing-focused MSG Engine, sales and marketing activities and capital expenditures. See “Use of Proceeds” for additional information. Our management will have considerable discretion in the application of the net proceeds, and you will not have the opportunity, as part of your investment decision, to assess whether the proceeds are being used appropriately.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There is no existing market for our Class A common stock, and we cannot ensure that one will ever develop or be sustained.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this offering there has been no trading market for our Class A common stock. We cannot predict the extent to which investor interest in our Company will lead to the development of a trading market for our Class A common stock or how liquid that market might become. The offering price for the shares of our Class A common stock has been determined by the Company in connection with this offering and may not be indicative of the price that will prevail in any trading market following this offering, if any. If an active trading market does not develop or is not maintained, the market price and liquidity of our Class A common stock may be adversely affected. In that case, you may not be able to sell your Class A common stock shares at a particular time, at a favorable price or at all.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firstLine="648"/>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will have limitations on the liability of our directors, and we may have to indemnify our officers and directors in certain instances.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certificate of incorporation will limit the liability of directors to the maximum extent permitted by Delaware law. Delaware law provides that directors of a corporation will not be personally liable for monetary damages for breach of their fiduciary duties as directors, except for liability for any:</w:t>
      </w:r>
    </w:p>
    <w:p>
      <w:pPr>
        <w:spacing w:after="0" w:line="146"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breach of their duty of loyalty to us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transactions for which the directors derived an improper personal benefit.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limitations of liability will not apply to liabilities arising under the federal or state securities laws and will not affect the availability of equitable remedies such as injunctive relief or rescission. Our corporate bylaws will provide that we will indemnify our directors, officers and employees to the fullest extent permitted by law. Our bylaws will also provide that we are obligated to advance expenses incurred by a director or officer in advance of the final disposition of any action or proceeding. We believe that these bylaw provisions are necessary to attract and retain qualified persons as directors and officers. The limitation of liability in our certificate of incorporation and bylaws may discourage stockholders from bringing a lawsuit against directors for a breach of their fiduciary duties. They may also reduce the likelihood of derivative litigation against directors and officers, even though an action, if successful, might provide a benefit to us and our stockholders. Our results of operations and financial condition may be harmed to the extent we pay the costs of settlement and damage awards against directors and officers pursuant to these indemnification provisions.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Certain provisions in our charter documents, which are to be adopted prior to the effective time of this offering, and under Delaware law could limit attempts by our stockholders to replace or remove our board of directors or current management and limit the market price of our Class A common stock.</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Provisions in our certificate of incorporation and bylaws, which are to be adopted prior to the effective time of this offering, may have the effect of delaying or preventing changes in our board of directors or management. Our certificate of incorporation and bylaws will include provisions that:</w:t>
      </w:r>
    </w:p>
    <w:p>
      <w:pPr>
        <w:spacing w:after="0" w:line="124" w:lineRule="exact"/>
        <w:rPr>
          <w:sz w:val="20"/>
          <w:szCs w:val="20"/>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a classified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 two classes of common stock, as discussed above.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will be incorporated in Delaware, we will be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price of our Class A common stock following our offering may fluctuate substantially and may be higher or lower than the initial public offering price. The trading price of our Class A common stock following our offering will depend on several factors, including those described in this “Risk Factors” section, many of which are beyond our control and may not be related to our operating performance. These fluctuations could cause you to lose all or part of your investment in our Class A common stock because you might be unable to sell your shares at or above the price you paid in the offering. Factors that could cause fluctuations in the trading price of our Class A common stock include:</w:t>
      </w:r>
    </w:p>
    <w:p>
      <w:pPr>
        <w:spacing w:after="0" w:line="17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our industry, including demand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compete successfully against current and future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working capital financing as required;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Class A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loss of any strategic relationship, sponsor or licensor;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standards, procedures, guidelines, interpretations or principles;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geo-political and other external factors.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Class A common stock, regardless of our actual operating performance. These fluctuations may be even more pronounced in the trading market for our stock shortly following our offering. If the market price of our Class A common stock after our offering does not exceed the initial public offering price, you may not realize any return on your investment in us and may lose some or all of your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6"/>
          <w:szCs w:val="16"/>
          <w:b w:val="1"/>
          <w:bCs w:val="1"/>
          <w:i w:val="1"/>
          <w:iCs w:val="1"/>
          <w:color w:val="auto"/>
        </w:rPr>
        <w:t>If you purchase shares of our Class A common stock in our initial public offering, you will experience substantial and immediate dilution.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initial public offering price is substantially higher than the net tangible book value per share of our outstanding common stock immediately</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following the completion of this offering. Based on the assumed initial public offering price of $ per share, which is the midpoint of the price range set forth on the cover page of this prospectus, if you purchase shares of common stock in this offering, you will experience substantial and immediate</w:t>
      </w:r>
    </w:p>
    <w:p>
      <w:pPr>
        <w:jc w:val="both"/>
        <w:spacing w:after="0" w:line="270" w:lineRule="auto"/>
        <w:rPr>
          <w:sz w:val="20"/>
          <w:szCs w:val="20"/>
          <w:color w:val="auto"/>
        </w:rPr>
      </w:pPr>
      <w:r>
        <w:rPr>
          <w:rFonts w:ascii="Arial" w:cs="Arial" w:eastAsia="Arial" w:hAnsi="Arial"/>
          <w:sz w:val="17"/>
          <w:szCs w:val="17"/>
          <w:color w:val="auto"/>
        </w:rPr>
        <w:t>dilution in the pro forma as adjusted net tangible book value per share of $ per share as of September 30, 2020. That is because the price that you pay will be substantially greater than the pro forma net tangible book value per share of the Class A common stock that you acquire. This dilution is due in large part to the fact that our earlier investor, Motorsport Network, paid substantially less than the initial public offering price when it purchased its shares of our capital stock. You will experience additional dilution when those holding options exercise their right to purchase Class A common stock under our equity incentive plans, when options vest and settle, when we issue equity awards to our employees under our equity incentive plans, or when we otherwise issue additional shares of our Class A common stock. For more information, see “Dilution.”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 the completion of this offering, we may be at an increased risk of securities class action litigation.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If we were to be sued, it could result in substantial costs and a diversion of management’s attention and resources, which could harm our business.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securities industry analysts do not publish research reports on us, or publish unfavorable reports on us, then the market price and market trading volume of our Class A common stock could be negatively affected.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trading market for our Class A common stock will be influenced in part by any research reports that securities industry analysts publish about us. We do not currently have and may never obtain research coverage by securities industry analysts. If no securities industry analysts commence coverage of us, the market price and market trading volume of our Class A common stock could be negatively affected. In the event we are covered by analysts, and one or more of such analysts downgrade our securities, or otherwise report on us unfavorably, or discontinue coverage of us, the market price and market trading volume of our Class A common stock could be negatively affected.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subject to taxes in the United States and the United Kingdom. Our future effective tax rates could be subject to volatility or adversely affected by a number of factors, including:</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expiration of, or detrimental changes in, research and development tax credit laws;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into or future activities in additional jurisdictions.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in various jurisdictions. Outcomes from these audits could have an adverse effect on our operating results and financial condition.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As a result, our dual class capital structure would make us ineligible for inclusion in any of these indices, and mutual funds, exchange-traded funds and other investment vehicles that attempt to passively track these indices will not be investing in our common stock.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never declared nor paid cash dividends on our capital stock. We currently intend to retain any future earnings to finance the operation and expansion of our business, and we do not expect to declare or pay any dividends in the foreseeable future. Accordingly, investors must rely on sales of their Class A common stock after price appreciation, which may never occur, as the only way to realize any future gains on their investments.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center"/>
        <w:ind w:left="6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federal securities laws and which are subject to certain risks, trends and uncertainties. We use words such as “could,” “would,” “may,” “might,” “will,” “expect,” “likely,” “believe,” “continue,” “anticipate,” “estimate,” “intend,” “plan,” “project” and other similar expressions to identify some forward-looking statements, but not all forward-looking statements include these words. All of our forward-looking statements involve estimates and uncertainties that could cause actual results to differ materially from those expressed in the forward-looking statements. Accordingly, any such statements are qualified in their entirety by reference to the information described under the caption “Risk Factors” and elsewhere in this prospectus.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forward-looking statements contained in this prospectus are based on assumptions that we have made in light of our industry experience and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risks, uncertainties (many of which are beyond our control) and assumptions. Although we believe that these forward-looking statements are based on reasonable assumptions, you should be aware that many factors could affect our actual operating and financial performance and cause our performance to differ materially from the performance anticipated in the forward-looking statements. We believe these factors include, but are not limited to, the following:</w:t>
      </w:r>
    </w:p>
    <w:p>
      <w:pPr>
        <w:spacing w:after="0" w:line="164"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consistently deliver popular products or whether consumers prefer competing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concentration of our products in the racing game genre;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provide high-quality products in a timely manner;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effects on our business operations, financial performance and results of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declines in consumer spending and other adverse changes in the economy;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a relatively small number of franchises for a significant portion of our revenues and profits;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acquire and maintain licenses to intellectual property, especially for sports titles;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relating to the retail sales business model;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a single third-party distribution partner to distribute our games, and our ability to negotiate favorable terms with such partner and its continued willingness to purchase our games;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advertisers and sponsors for our esports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the retention of certain key personnel and the hiring of strategically valuable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market and brand our products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adequately address the shift to mobile device technology by our customers;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and assumptions discussed in this prospectus under “Risk Factors,” “Management’s Discussion and Analysis of Financial Condition and Results of Operations” and “Business.”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Should one or more of these risks or uncertainties materialize, or should any of these assumptions prove to be incorrect, our actual operating and financial performance may vary in material respects from the performance projected in these forward-looking statements. Further, any forward-looking statement speaks only as of the date on which it is made, and except as required by law, we undertake no obligation to update any forward-looking statement contained in this prospectus to reflect events or circumstances after the date on which it is made or to reflect the occurrence of anticipated or unanticipated events or circumstances, except as otherwise required by law. New factors that could cause our business not to develop as we expect emerge from time to time, and it is not possible for us to predict all of them. Further, we cannot assess the impact of each currently known or new factor on our results of operations or the extent to which any factor, or combination of factors, may cause actual results to differ materially from those contained in any forward-looking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estimate that our net proceeds from the sale of our Class A common stock that we are offering will be approximately $ million, or approximately $ million if the underwriters exercise in full their option to purchase additional shares of our Class A common stock, assuming an initial public offering price of $ per share, which is the midpoint of the price range on the cover page of this prospectus, and after deducting estimated underwriting discounts and commissions and estimated offering expenses payable by us.</w:t>
      </w:r>
    </w:p>
    <w:p>
      <w:pPr>
        <w:spacing w:after="0" w:line="187" w:lineRule="exact"/>
        <w:rPr>
          <w:sz w:val="20"/>
          <w:szCs w:val="20"/>
          <w:color w:val="auto"/>
        </w:rPr>
      </w:pPr>
    </w:p>
    <w:p>
      <w:pPr>
        <w:ind w:left="660"/>
        <w:spacing w:after="0"/>
        <w:tabs>
          <w:tab w:leader="none" w:pos="6780" w:val="left"/>
        </w:tabs>
        <w:rPr>
          <w:sz w:val="20"/>
          <w:szCs w:val="20"/>
          <w:color w:val="auto"/>
        </w:rPr>
      </w:pPr>
      <w:r>
        <w:rPr>
          <w:rFonts w:ascii="Arial" w:cs="Arial" w:eastAsia="Arial" w:hAnsi="Arial"/>
          <w:sz w:val="18"/>
          <w:szCs w:val="18"/>
          <w:color w:val="auto"/>
        </w:rPr>
        <w:t>A $1.00 increase (decrease) in the assumed initial public offering price of $</w:t>
      </w:r>
      <w:r>
        <w:rPr>
          <w:sz w:val="20"/>
          <w:szCs w:val="20"/>
          <w:color w:val="auto"/>
        </w:rPr>
        <w:tab/>
      </w:r>
      <w:r>
        <w:rPr>
          <w:rFonts w:ascii="Arial" w:cs="Arial" w:eastAsia="Arial" w:hAnsi="Arial"/>
          <w:sz w:val="16"/>
          <w:szCs w:val="16"/>
          <w:color w:val="auto"/>
        </w:rPr>
        <w:t>per share of our Class A common stock, the midpoint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estimated price range set forth on the cover page of this prospectus, would increase (decrease) the net proceeds to us from our initial public offering by</w:t>
      </w:r>
    </w:p>
    <w:p>
      <w:pPr>
        <w:spacing w:after="0" w:line="32" w:lineRule="exact"/>
        <w:rPr>
          <w:sz w:val="20"/>
          <w:szCs w:val="20"/>
          <w:color w:val="auto"/>
        </w:rPr>
      </w:pPr>
    </w:p>
    <w:p>
      <w:pPr>
        <w:ind w:firstLine="8"/>
        <w:spacing w:after="0" w:line="260" w:lineRule="auto"/>
        <w:tabs>
          <w:tab w:leader="none" w:pos="6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million, assuming the number of shares offered by us, as set forth on the cover page of this prospectus, remains the same, after deducting estimated underwriting discounts and commissions and estimated offering expenses payable by us.</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intend to use the net proceeds from this offering for working capital and general corporate purposes, including product development, such as for mobile products and additional racing series, the buildout of APEX, the development of our proprietary racing-focused MSG Engine, sales and marketing activities and capital expenditures. Pending these uses, we may invest the net proceeds from this offering in short-term, investment-grade, interest-bearing securities such as money market accounts, certificates of deposit, commercial paper and guaranteed obligations of the U.S. government.</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financial condition, results of operations, business plans and conditions.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As a result, our management will retain broad discretion over the allocation of the net proceeds from this offering.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therefore, we do not anticipate paying any cash dividends in the foreseeable future. Any future determination to pay dividends will be at the discretion of our board of directors, subject to compliance with covenants in current and future agreements governing our and our subsidiaries’ indebtedness, and will depend on our results of operations, financial condition, capital requirements, contractual arrangements and other factors that our board of directors deems relevant.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our cash and cash equivalents and capitalization as of September 30, 2020:</w:t>
      </w:r>
    </w:p>
    <w:p>
      <w:pPr>
        <w:spacing w:after="0" w:line="22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w w:val="99"/>
              </w:rPr>
              <w:t>on a pro forma basis to give effect to the corporate conversion, based on the assumed initial public offering price of $</w:t>
            </w: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per share (the</w:t>
            </w:r>
          </w:p>
        </w:tc>
      </w:tr>
      <w:tr>
        <w:trPr>
          <w:trHeight w:val="230"/>
        </w:trPr>
        <w:tc>
          <w:tcPr>
            <w:tcW w:w="220" w:type="dxa"/>
            <w:vAlign w:val="bottom"/>
          </w:tcPr>
          <w:p>
            <w:pPr>
              <w:spacing w:after="0"/>
              <w:rPr>
                <w:sz w:val="20"/>
                <w:szCs w:val="20"/>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midpoint of the price range set forth on the cover page of this prospectus); and</w:t>
            </w:r>
          </w:p>
        </w:tc>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w w:val="91"/>
              </w:rPr>
              <w:t>on a pro forma as adjusted basis to additionally give effect to (1) the pro forma adjustment described above and (2) the sale of</w:t>
            </w:r>
          </w:p>
        </w:tc>
        <w:tc>
          <w:tcPr>
            <w:tcW w:w="1040" w:type="dxa"/>
            <w:vAlign w:val="bottom"/>
          </w:tcPr>
          <w:p>
            <w:pPr>
              <w:jc w:val="right"/>
              <w:spacing w:after="0"/>
              <w:rPr>
                <w:sz w:val="20"/>
                <w:szCs w:val="20"/>
                <w:color w:val="auto"/>
              </w:rPr>
            </w:pPr>
            <w:r>
              <w:rPr>
                <w:rFonts w:ascii="Arial" w:cs="Arial" w:eastAsia="Arial" w:hAnsi="Arial"/>
                <w:sz w:val="18"/>
                <w:szCs w:val="18"/>
                <w:color w:val="auto"/>
              </w:rPr>
              <w:t>shares of</w:t>
            </w:r>
          </w:p>
        </w:tc>
      </w:tr>
      <w:tr>
        <w:trPr>
          <w:trHeight w:val="216"/>
        </w:trPr>
        <w:tc>
          <w:tcPr>
            <w:tcW w:w="2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w w:val="97"/>
              </w:rPr>
              <w:t>our Class A common stock in this offering, assuming an initial public offering price of $</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w w:val="98"/>
              </w:rPr>
              <w:t>per share (the midpoint of the price range set</w:t>
            </w:r>
          </w:p>
        </w:tc>
      </w:tr>
      <w:tr>
        <w:trPr>
          <w:trHeight w:val="216"/>
        </w:trPr>
        <w:tc>
          <w:tcPr>
            <w:tcW w:w="220" w:type="dxa"/>
            <w:vAlign w:val="bottom"/>
          </w:tcPr>
          <w:p>
            <w:pPr>
              <w:spacing w:after="0"/>
              <w:rPr>
                <w:sz w:val="18"/>
                <w:szCs w:val="18"/>
                <w:color w:val="auto"/>
              </w:rPr>
            </w:pPr>
          </w:p>
        </w:tc>
        <w:tc>
          <w:tcPr>
            <w:tcW w:w="10360" w:type="dxa"/>
            <w:vAlign w:val="bottom"/>
            <w:gridSpan w:val="3"/>
          </w:tcPr>
          <w:p>
            <w:pPr>
              <w:ind w:left="100"/>
              <w:spacing w:after="0"/>
              <w:rPr>
                <w:sz w:val="20"/>
                <w:szCs w:val="20"/>
                <w:color w:val="auto"/>
              </w:rPr>
            </w:pPr>
            <w:r>
              <w:rPr>
                <w:rFonts w:ascii="Arial" w:cs="Arial" w:eastAsia="Arial" w:hAnsi="Arial"/>
                <w:sz w:val="18"/>
                <w:szCs w:val="18"/>
                <w:color w:val="auto"/>
                <w:w w:val="96"/>
              </w:rPr>
              <w:t>forth on the cover page of this prospectus), after deducting estimated underwritten discounts and commissions and estimated offering</w:t>
            </w:r>
          </w:p>
        </w:tc>
      </w:tr>
      <w:tr>
        <w:trPr>
          <w:trHeight w:val="230"/>
        </w:trPr>
        <w:tc>
          <w:tcPr>
            <w:tcW w:w="220" w:type="dxa"/>
            <w:vAlign w:val="bottom"/>
          </w:tcPr>
          <w:p>
            <w:pPr>
              <w:spacing w:after="0"/>
              <w:rPr>
                <w:sz w:val="20"/>
                <w:szCs w:val="20"/>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expenses payable by us.</w:t>
            </w:r>
          </w:p>
        </w:tc>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 forma and pro forma as adjusted information below is illustrative only, and our capitalization following the corporate conversion and the closing of this offering will depend on the actual initial public offering price and other terms of this offering determined at pricing. You should read the following information together with the information contained under the headings “Selected Historical Consolidated Financial Data” and “Management’s Discussion and Analysis of Financial Condition and Results of Operations” and our consolidated financial statements and the accompanying notes appearing elsewhere in this prospectus.</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Actual</w:t>
            </w:r>
          </w:p>
        </w:tc>
        <w:tc>
          <w:tcPr>
            <w:tcW w:w="340" w:type="dxa"/>
            <w:vAlign w:val="bottom"/>
          </w:tcPr>
          <w:p>
            <w:pPr>
              <w:spacing w:after="0"/>
              <w:rPr>
                <w:sz w:val="20"/>
                <w:szCs w:val="20"/>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Pro Forma</w:t>
            </w:r>
          </w:p>
        </w:tc>
        <w:tc>
          <w:tcPr>
            <w:tcW w:w="3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As Adjusted</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6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3000" w:type="dxa"/>
            <w:vAlign w:val="bottom"/>
            <w:gridSpan w:val="2"/>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color w:val="auto"/>
              </w:rPr>
              <w:t>Promissory Note</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Member’s equity:</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Member’s (deficiency) equity attributable to Motorsport Gaming US LLC</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50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Member’s Equity</w:t>
            </w:r>
          </w:p>
        </w:tc>
        <w:tc>
          <w:tcPr>
            <w:tcW w:w="5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60" w:type="dxa"/>
            <w:vAlign w:val="bottom"/>
            <w:gridSpan w:val="5"/>
          </w:tcPr>
          <w:p>
            <w:pPr>
              <w:ind w:left="180"/>
              <w:spacing w:after="0" w:line="201" w:lineRule="exact"/>
              <w:rPr>
                <w:sz w:val="20"/>
                <w:szCs w:val="20"/>
                <w:color w:val="auto"/>
              </w:rPr>
            </w:pPr>
            <w:r>
              <w:rPr>
                <w:rFonts w:ascii="Arial" w:cs="Arial" w:eastAsia="Arial" w:hAnsi="Arial"/>
                <w:sz w:val="18"/>
                <w:szCs w:val="18"/>
                <w:color w:val="auto"/>
              </w:rPr>
              <w:t>Class A common stock, $0.0001 par value; no shares authorized, issued and</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color w:val="auto"/>
              </w:rPr>
              <w:t>outstanding, actual;</w:t>
            </w: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shares authorized and</w:t>
            </w:r>
          </w:p>
        </w:tc>
        <w:tc>
          <w:tcPr>
            <w:tcW w:w="3000" w:type="dxa"/>
            <w:vAlign w:val="bottom"/>
            <w:gridSpan w:val="2"/>
          </w:tcPr>
          <w:p>
            <w:pPr>
              <w:jc w:val="right"/>
              <w:ind w:right="1630"/>
              <w:spacing w:after="0"/>
              <w:rPr>
                <w:sz w:val="20"/>
                <w:szCs w:val="20"/>
                <w:color w:val="auto"/>
              </w:rPr>
            </w:pPr>
            <w:r>
              <w:rPr>
                <w:rFonts w:ascii="Arial" w:cs="Arial" w:eastAsia="Arial" w:hAnsi="Arial"/>
                <w:sz w:val="18"/>
                <w:szCs w:val="18"/>
                <w:color w:val="auto"/>
                <w:w w:val="86"/>
              </w:rPr>
              <w:t>shares issued and</w:t>
            </w: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color w:val="auto"/>
                <w:w w:val="91"/>
              </w:rPr>
              <w:t>outstanding, pro forma; and</w:t>
            </w:r>
          </w:p>
        </w:tc>
        <w:tc>
          <w:tcPr>
            <w:tcW w:w="500" w:type="dxa"/>
            <w:vAlign w:val="bottom"/>
          </w:tcPr>
          <w:p>
            <w:pPr>
              <w:spacing w:after="0"/>
              <w:rPr>
                <w:sz w:val="18"/>
                <w:szCs w:val="18"/>
                <w:color w:val="auto"/>
              </w:rPr>
            </w:pPr>
          </w:p>
        </w:tc>
        <w:tc>
          <w:tcPr>
            <w:tcW w:w="1840" w:type="dxa"/>
            <w:vAlign w:val="bottom"/>
          </w:tcPr>
          <w:p>
            <w:pPr>
              <w:ind w:left="240"/>
              <w:spacing w:after="0"/>
              <w:rPr>
                <w:sz w:val="20"/>
                <w:szCs w:val="20"/>
                <w:color w:val="auto"/>
              </w:rPr>
            </w:pPr>
            <w:r>
              <w:rPr>
                <w:rFonts w:ascii="Arial" w:cs="Arial" w:eastAsia="Arial" w:hAnsi="Arial"/>
                <w:sz w:val="18"/>
                <w:szCs w:val="18"/>
                <w:color w:val="auto"/>
                <w:w w:val="88"/>
              </w:rPr>
              <w:t>shares authorized and</w:t>
            </w:r>
          </w:p>
        </w:tc>
        <w:tc>
          <w:tcPr>
            <w:tcW w:w="3000" w:type="dxa"/>
            <w:vAlign w:val="bottom"/>
            <w:gridSpan w:val="2"/>
          </w:tcPr>
          <w:p>
            <w:pPr>
              <w:jc w:val="right"/>
              <w:ind w:right="1750"/>
              <w:spacing w:after="0"/>
              <w:rPr>
                <w:sz w:val="20"/>
                <w:szCs w:val="20"/>
                <w:color w:val="auto"/>
              </w:rPr>
            </w:pPr>
            <w:r>
              <w:rPr>
                <w:rFonts w:ascii="Arial" w:cs="Arial" w:eastAsia="Arial" w:hAnsi="Arial"/>
                <w:sz w:val="18"/>
                <w:szCs w:val="18"/>
                <w:color w:val="auto"/>
              </w:rPr>
              <w:t>shares</w:t>
            </w: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3"/>
          </w:tcPr>
          <w:p>
            <w:pPr>
              <w:ind w:left="180"/>
              <w:spacing w:after="0"/>
              <w:rPr>
                <w:sz w:val="20"/>
                <w:szCs w:val="20"/>
                <w:color w:val="auto"/>
              </w:rPr>
            </w:pPr>
            <w:r>
              <w:rPr>
                <w:rFonts w:ascii="Arial" w:cs="Arial" w:eastAsia="Arial" w:hAnsi="Arial"/>
                <w:sz w:val="18"/>
                <w:szCs w:val="18"/>
                <w:color w:val="auto"/>
              </w:rPr>
              <w:t>issued and outstanding, pro forma, as adjusted</w:t>
            </w:r>
          </w:p>
        </w:tc>
        <w:tc>
          <w:tcPr>
            <w:tcW w:w="1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560" w:type="dxa"/>
            <w:vAlign w:val="bottom"/>
            <w:gridSpan w:val="5"/>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common stock, $0.0001 par value; no shares authorized, issued and</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actual;</w:t>
            </w:r>
          </w:p>
        </w:tc>
        <w:tc>
          <w:tcPr>
            <w:tcW w:w="2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 authorized and</w:t>
            </w:r>
          </w:p>
        </w:tc>
        <w:tc>
          <w:tcPr>
            <w:tcW w:w="3000" w:type="dxa"/>
            <w:vAlign w:val="bottom"/>
            <w:gridSpan w:val="2"/>
            <w:shd w:val="clear" w:color="auto" w:fill="CCEEFF"/>
          </w:tcPr>
          <w:p>
            <w:pPr>
              <w:jc w:val="right"/>
              <w:ind w:right="1850"/>
              <w:spacing w:after="0"/>
              <w:rPr>
                <w:sz w:val="20"/>
                <w:szCs w:val="20"/>
                <w:color w:val="auto"/>
              </w:rPr>
            </w:pPr>
            <w:r>
              <w:rPr>
                <w:rFonts w:ascii="Arial" w:cs="Arial" w:eastAsia="Arial" w:hAnsi="Arial"/>
                <w:sz w:val="18"/>
                <w:szCs w:val="18"/>
                <w:color w:val="auto"/>
                <w:w w:val="93"/>
              </w:rPr>
              <w:t>shares issued</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and outstanding, pro forma; and</w:t>
            </w:r>
          </w:p>
        </w:tc>
        <w:tc>
          <w:tcPr>
            <w:tcW w:w="4840" w:type="dxa"/>
            <w:vAlign w:val="bottom"/>
            <w:gridSpan w:val="3"/>
            <w:shd w:val="clear" w:color="auto" w:fill="CCEEFF"/>
          </w:tcPr>
          <w:p>
            <w:pPr>
              <w:jc w:val="right"/>
              <w:ind w:right="2650"/>
              <w:spacing w:after="0"/>
              <w:rPr>
                <w:sz w:val="20"/>
                <w:szCs w:val="20"/>
                <w:color w:val="auto"/>
              </w:rPr>
            </w:pPr>
            <w:r>
              <w:rPr>
                <w:rFonts w:ascii="Arial" w:cs="Arial" w:eastAsia="Arial" w:hAnsi="Arial"/>
                <w:sz w:val="18"/>
                <w:szCs w:val="18"/>
                <w:color w:val="auto"/>
              </w:rPr>
              <w:t>shares authorized and</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pro forma, as adjusted</w:t>
            </w:r>
          </w:p>
        </w:tc>
        <w:tc>
          <w:tcPr>
            <w:tcW w:w="15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5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Total stockholders’ equity</w:t>
            </w:r>
          </w:p>
        </w:tc>
        <w:tc>
          <w:tcPr>
            <w:tcW w:w="5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5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3000" w:type="dxa"/>
            <w:vAlign w:val="bottom"/>
            <w:gridSpan w:val="2"/>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47</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7"/>
          <w:szCs w:val="17"/>
          <w:color w:val="auto"/>
        </w:rPr>
        <w:t>The number of shares of our Class A common stock and Class B common stock to be outstanding immediately after this offering is based on</w:t>
      </w:r>
    </w:p>
    <w:p>
      <w:pPr>
        <w:spacing w:after="0" w:line="35" w:lineRule="exact"/>
        <w:rPr>
          <w:sz w:val="20"/>
          <w:szCs w:val="20"/>
          <w:color w:val="auto"/>
        </w:rPr>
      </w:pPr>
    </w:p>
    <w:p>
      <w:pPr>
        <w:ind w:firstLine="427"/>
        <w:spacing w:after="0" w:line="260" w:lineRule="auto"/>
        <w:rPr>
          <w:sz w:val="20"/>
          <w:szCs w:val="20"/>
          <w:color w:val="auto"/>
        </w:rPr>
      </w:pPr>
      <w:r>
        <w:rPr>
          <w:rFonts w:ascii="Arial" w:cs="Arial" w:eastAsia="Arial" w:hAnsi="Arial"/>
          <w:sz w:val="18"/>
          <w:szCs w:val="18"/>
          <w:color w:val="auto"/>
        </w:rPr>
        <w:t>shares of our Class A common stock and shares of our Class B common stock outstanding as of , 2020 (as adjusted to give effect to the corporate conversion), and excludes the following:</w:t>
      </w:r>
    </w:p>
    <w:p>
      <w:pPr>
        <w:spacing w:after="0" w:line="185" w:lineRule="exact"/>
        <w:rPr>
          <w:sz w:val="20"/>
          <w:szCs w:val="20"/>
          <w:color w:val="auto"/>
        </w:rPr>
      </w:pPr>
    </w:p>
    <w:p>
      <w:pPr>
        <w:jc w:val="both"/>
        <w:ind w:left="980" w:hanging="324"/>
        <w:spacing w:after="0" w:line="259" w:lineRule="auto"/>
        <w:tabs>
          <w:tab w:leader="none" w:pos="1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of our Class A common stock issuable upon exercise of stock options that will be granted to certain of our employees and our non-employee directors in connection with this offering under the 2020 Plan, which we expect will become effective immediately prior to the consummation of this offering, at an exercise price per share equal to the initial public offering price in this offering (see “Executive Compensation—Actions Taken in Connection with This Offering”);</w:t>
      </w:r>
    </w:p>
    <w:p>
      <w:pPr>
        <w:spacing w:after="0" w:line="186" w:lineRule="exact"/>
        <w:rPr>
          <w:rFonts w:ascii="Arial" w:cs="Arial" w:eastAsia="Arial" w:hAnsi="Arial"/>
          <w:sz w:val="18"/>
          <w:szCs w:val="18"/>
          <w:color w:val="auto"/>
        </w:rPr>
      </w:pPr>
    </w:p>
    <w:p>
      <w:pPr>
        <w:jc w:val="both"/>
        <w:ind w:left="980" w:hanging="324"/>
        <w:spacing w:after="0" w:line="279" w:lineRule="auto"/>
        <w:tabs>
          <w:tab w:leader="none" w:pos="16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shares of our Class A common stock to be issued to Francesco Piovanetti, a member of our board of directors, in connection with this offering under the 2020 Plan and for his continuing service as chair of our audit committee and as an “audit committee financial expert” (subject to his qualification and appointment, as applicable), which represents a stock award equal to $100,000 divided by the initial public offering price in this offering (see “Executive Compensation—Actions Taken in Connection with This Offering”);</w:t>
      </w:r>
    </w:p>
    <w:p>
      <w:pPr>
        <w:spacing w:after="0" w:line="171" w:lineRule="exact"/>
        <w:rPr>
          <w:rFonts w:ascii="Arial" w:cs="Arial" w:eastAsia="Arial" w:hAnsi="Arial"/>
          <w:sz w:val="17"/>
          <w:szCs w:val="17"/>
          <w:color w:val="auto"/>
        </w:rPr>
      </w:pPr>
    </w:p>
    <w:p>
      <w:pPr>
        <w:ind w:left="1340" w:hanging="684"/>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shares of our Class A common stock reserved for future issuance under the 2020 Plan;</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1462"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shares of our Class A common stock to be issued to Fernando Alonso pursuant to a promotional services agreement entered into with Mr. Alonso, representing 3.0% of the issued and outstanding shares of our Class A common stock as of the closing date of this offering (see “Business—Marketing, Sales, and Distribution—Promotional Services Agreement with Fernando Alonso”); and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shares of our Class A common stock that may be issued outside of the 2020 Plan to Dmitry Kozko, our Chief Executive Officer, subject to the</w:t>
      </w:r>
    </w:p>
    <w:p>
      <w:pPr>
        <w:spacing w:after="0" w:line="46" w:lineRule="exact"/>
        <w:rPr>
          <w:sz w:val="20"/>
          <w:szCs w:val="20"/>
          <w:color w:val="auto"/>
        </w:rPr>
      </w:pPr>
    </w:p>
    <w:p>
      <w:pPr>
        <w:jc w:val="both"/>
        <w:ind w:left="980"/>
        <w:spacing w:after="0" w:line="281" w:lineRule="auto"/>
        <w:rPr>
          <w:sz w:val="20"/>
          <w:szCs w:val="20"/>
          <w:color w:val="auto"/>
        </w:rPr>
      </w:pPr>
      <w:r>
        <w:rPr>
          <w:rFonts w:ascii="Arial" w:cs="Arial" w:eastAsia="Arial" w:hAnsi="Arial"/>
          <w:sz w:val="16"/>
          <w:szCs w:val="16"/>
          <w:color w:val="auto"/>
        </w:rPr>
        <w:t>satisfaction of certain conditions as set forth in his employment agreement with us, including (i) up to shares that may be issued in connection with this offering representing 1.0% of the expected issued and outstanding shares of our Class A common stock as of the closing</w:t>
      </w:r>
    </w:p>
    <w:p>
      <w:pPr>
        <w:spacing w:after="0" w:line="1"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date of this offering and (ii) shares issuable upon exercise of stock options that may be granted in connection with this offering representing 2.0% of the expected issued and outstanding shares of our Class A common stock as of the closing date of this offering (see “Executive Compensation—Executive Employment Arrangements</w:t>
      </w:r>
      <w:r>
        <w:rPr>
          <w:rFonts w:ascii="Arial" w:cs="Arial" w:eastAsia="Arial" w:hAnsi="Arial"/>
          <w:sz w:val="18"/>
          <w:szCs w:val="18"/>
          <w:b w:val="1"/>
          <w:bCs w:val="1"/>
          <w:i w:val="1"/>
          <w:iCs w:val="1"/>
          <w:color w:val="auto"/>
        </w:rPr>
        <w:t>—</w:t>
      </w:r>
      <w:r>
        <w:rPr>
          <w:rFonts w:ascii="Arial" w:cs="Arial" w:eastAsia="Arial" w:hAnsi="Arial"/>
          <w:sz w:val="18"/>
          <w:szCs w:val="18"/>
          <w:color w:val="auto"/>
        </w:rPr>
        <w:t>Employment Agreement with Dmitry Kozko”).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 forma net tangible book value as of September 30, 2020 was $ million, or $ per share of common stock. Our pro forma net tangible book value per share represents the amount of our total tangible assets less our total liabilities, divided by the number of our shares of common stock outstanding as of September 30, 2020, after giving effect to the automatic conversion of all the membership interests in Motorsport Gaming US LLC</w:t>
      </w:r>
    </w:p>
    <w:p>
      <w:pPr>
        <w:jc w:val="both"/>
        <w:spacing w:after="0" w:line="260" w:lineRule="auto"/>
        <w:rPr>
          <w:sz w:val="20"/>
          <w:szCs w:val="20"/>
          <w:color w:val="auto"/>
        </w:rPr>
      </w:pPr>
      <w:r>
        <w:rPr>
          <w:rFonts w:ascii="Arial" w:cs="Arial" w:eastAsia="Arial" w:hAnsi="Arial"/>
          <w:sz w:val="18"/>
          <w:szCs w:val="18"/>
          <w:color w:val="auto"/>
        </w:rPr>
        <w:t>currently held by the Company’s sole member, Motorsport Network, into an aggregate of (i) shares of Class A common stock and (ii) shares of Class B common stock, which will occur immediately prior to the completion of this offering.</w:t>
      </w:r>
    </w:p>
    <w:p>
      <w:pPr>
        <w:spacing w:after="0" w:line="185" w:lineRule="exact"/>
        <w:rPr>
          <w:sz w:val="20"/>
          <w:szCs w:val="20"/>
          <w:color w:val="auto"/>
        </w:rPr>
      </w:pPr>
    </w:p>
    <w:p>
      <w:pPr>
        <w:ind w:left="660"/>
        <w:spacing w:after="0"/>
        <w:tabs>
          <w:tab w:leader="none" w:pos="388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6"/>
          <w:szCs w:val="16"/>
          <w:color w:val="auto"/>
        </w:rPr>
        <w:t>shares of Class A common stock in this offering at an assumed initial public offering price of $</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per share, the midpoint of the estimated price range set forth on the cover page of this prospectus, and after deducting estimated underwriting discounts and commissions and estimated offering expenses payable by us, our pro forma as adjusted net tangible book value as of September 30, 2020 would have been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million, or $ per share. This amount represents an immediate dilution of $ per share to new investors purchasing Class A common stock in this offering. We determine dilution by subtracting the pro forma as adjusted net tangible book value per share after this offering from the initial public offering price per share paid by investors purchasing Class A common stock in this offering. The following table illustrates this dilution on a per share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020" w:type="dxa"/>
            <w:vAlign w:val="bottom"/>
            <w:gridSpan w:val="5"/>
            <w:shd w:val="clear" w:color="auto" w:fill="CCEEFF"/>
          </w:tcPr>
          <w:p>
            <w:pPr>
              <w:jc w:val="right"/>
              <w:ind w:right="10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Historical net tangible book value per membership interest as of September 30, 2020</w:t>
            </w:r>
          </w:p>
        </w:tc>
        <w:tc>
          <w:tcPr>
            <w:tcW w:w="146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w w:val="92"/>
              </w:rPr>
              <w:t>Increase in pro forma as adjusted net tangible book value per share attributable to new investors purchasing</w:t>
            </w:r>
          </w:p>
        </w:tc>
        <w:tc>
          <w:tcPr>
            <w:tcW w:w="1460" w:type="dxa"/>
            <w:vAlign w:val="bottom"/>
            <w:gridSpan w:val="2"/>
            <w:vMerge w:val="restart"/>
          </w:tcPr>
          <w:p>
            <w:pPr>
              <w:jc w:val="right"/>
              <w:ind w:right="1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8"/>
                <w:szCs w:val="18"/>
                <w:color w:val="auto"/>
              </w:rPr>
              <w:t>shares in this offering</w:t>
            </w:r>
          </w:p>
        </w:tc>
        <w:tc>
          <w:tcPr>
            <w:tcW w:w="14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Borders>
              <w:top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CCEEFF"/>
            </w:tcBorders>
            <w:gridSpan w:val="3"/>
            <w:shd w:val="clear" w:color="auto" w:fill="CCEEFF"/>
          </w:tcPr>
          <w:p>
            <w:pPr>
              <w:jc w:val="right"/>
              <w:ind w:right="1067"/>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spacing w:after="0"/>
              <w:rPr>
                <w:sz w:val="18"/>
                <w:szCs w:val="18"/>
                <w:color w:val="auto"/>
              </w:rPr>
            </w:pPr>
          </w:p>
        </w:tc>
        <w:tc>
          <w:tcPr>
            <w:tcW w:w="1220" w:type="dxa"/>
            <w:vAlign w:val="bottom"/>
            <w:tcBorders>
              <w:top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dilution information discussed above is illustrative only and may change based on the actual initial public offering price and other terms of</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offering. A $1.00 increase (decrease) in the assumed initial public offering price of $ per share of Class A common stock, the midpoint of the estimated price range set forth on the cover page of this prospectus, would increase (decrease) our pro forma as adjusted net tangible book value per share</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after this offering by $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underwriters exercise their option to purchase additional shares of our Class A common stock from us in full, our pro forma as adjusted net</w:t>
      </w:r>
    </w:p>
    <w:p>
      <w:pPr>
        <w:spacing w:after="0" w:line="46"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tangible book value would be $</w:t>
      </w:r>
      <w:r>
        <w:rPr>
          <w:sz w:val="20"/>
          <w:szCs w:val="20"/>
          <w:color w:val="auto"/>
        </w:rPr>
        <w:tab/>
      </w:r>
      <w:r>
        <w:rPr>
          <w:rFonts w:ascii="Arial" w:cs="Arial" w:eastAsia="Arial" w:hAnsi="Arial"/>
          <w:sz w:val="16"/>
          <w:szCs w:val="16"/>
          <w:color w:val="auto"/>
        </w:rPr>
        <w:t>per share, and the dilution in pro forma net tangible book value per share to new investors in this offering would be</w:t>
      </w:r>
    </w:p>
    <w:p>
      <w:pPr>
        <w:spacing w:after="0" w:line="9"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share.</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table summarizes, as of September 30, 2020, on a pro forma as adjusted basis as described above, the number of shares of our Class A common stock, the total consideration and the average price per share (1) paid to us by the existing stockholder, Motorsport Network, and (2) to be paid</w:t>
      </w:r>
    </w:p>
    <w:p>
      <w:pPr>
        <w:jc w:val="both"/>
        <w:spacing w:after="0" w:line="255" w:lineRule="auto"/>
        <w:rPr>
          <w:sz w:val="20"/>
          <w:szCs w:val="20"/>
          <w:color w:val="auto"/>
        </w:rPr>
      </w:pPr>
      <w:r>
        <w:rPr>
          <w:rFonts w:ascii="Arial" w:cs="Arial" w:eastAsia="Arial" w:hAnsi="Arial"/>
          <w:sz w:val="18"/>
          <w:szCs w:val="18"/>
          <w:color w:val="auto"/>
        </w:rPr>
        <w:t>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510"/>
              <w:spacing w:after="0"/>
              <w:rPr>
                <w:sz w:val="20"/>
                <w:szCs w:val="20"/>
                <w:color w:val="auto"/>
              </w:rPr>
            </w:pPr>
            <w:r>
              <w:rPr>
                <w:rFonts w:ascii="Arial" w:cs="Arial" w:eastAsia="Arial" w:hAnsi="Arial"/>
                <w:sz w:val="18"/>
                <w:szCs w:val="18"/>
                <w:color w:val="auto"/>
              </w:rPr>
              <w:t>Average Price</w:t>
            </w:r>
          </w:p>
        </w:tc>
      </w:tr>
      <w:tr>
        <w:trPr>
          <w:trHeight w:val="237"/>
        </w:trPr>
        <w:tc>
          <w:tcPr>
            <w:tcW w:w="1520" w:type="dxa"/>
            <w:vAlign w:val="bottom"/>
          </w:tcPr>
          <w:p>
            <w:pPr>
              <w:spacing w:after="0"/>
              <w:rPr>
                <w:sz w:val="20"/>
                <w:szCs w:val="20"/>
                <w:color w:val="auto"/>
              </w:rPr>
            </w:pPr>
          </w:p>
        </w:tc>
        <w:tc>
          <w:tcPr>
            <w:tcW w:w="3140" w:type="dxa"/>
            <w:vAlign w:val="bottom"/>
            <w:gridSpan w:val="4"/>
          </w:tcPr>
          <w:p>
            <w:pPr>
              <w:ind w:left="20"/>
              <w:spacing w:after="0"/>
              <w:rPr>
                <w:sz w:val="20"/>
                <w:szCs w:val="20"/>
                <w:color w:val="auto"/>
              </w:rPr>
            </w:pPr>
            <w:r>
              <w:rPr>
                <w:rFonts w:ascii="Arial" w:cs="Arial" w:eastAsia="Arial" w:hAnsi="Arial"/>
                <w:sz w:val="18"/>
                <w:szCs w:val="18"/>
                <w:color w:val="auto"/>
              </w:rPr>
              <w:t>Shares Purchased</w:t>
            </w:r>
          </w:p>
        </w:tc>
        <w:tc>
          <w:tcPr>
            <w:tcW w:w="2880" w:type="dxa"/>
            <w:vAlign w:val="bottom"/>
            <w:gridSpan w:val="3"/>
          </w:tcPr>
          <w:p>
            <w:pPr>
              <w:ind w:left="1380"/>
              <w:spacing w:after="0"/>
              <w:rPr>
                <w:sz w:val="20"/>
                <w:szCs w:val="20"/>
                <w:color w:val="auto"/>
              </w:rPr>
            </w:pPr>
            <w:r>
              <w:rPr>
                <w:rFonts w:ascii="Arial" w:cs="Arial" w:eastAsia="Arial" w:hAnsi="Arial"/>
                <w:sz w:val="18"/>
                <w:szCs w:val="18"/>
                <w:color w:val="auto"/>
                <w:w w:val="94"/>
              </w:rPr>
              <w:t>Total Consideration</w:t>
            </w: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jc w:val="right"/>
              <w:ind w:right="670"/>
              <w:spacing w:after="0"/>
              <w:rPr>
                <w:sz w:val="20"/>
                <w:szCs w:val="20"/>
                <w:color w:val="auto"/>
              </w:rPr>
            </w:pPr>
            <w:r>
              <w:rPr>
                <w:rFonts w:ascii="Arial" w:cs="Arial" w:eastAsia="Arial" w:hAnsi="Arial"/>
                <w:sz w:val="18"/>
                <w:szCs w:val="18"/>
                <w:color w:val="auto"/>
              </w:rPr>
              <w:t>Per Share</w:t>
            </w:r>
          </w:p>
        </w:tc>
      </w:tr>
      <w:tr>
        <w:trPr>
          <w:trHeight w:val="237"/>
        </w:trPr>
        <w:tc>
          <w:tcPr>
            <w:tcW w:w="15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Number</w:t>
            </w:r>
          </w:p>
        </w:tc>
        <w:tc>
          <w:tcPr>
            <w:tcW w:w="4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Percent</w:t>
            </w:r>
          </w:p>
        </w:tc>
        <w:tc>
          <w:tcPr>
            <w:tcW w:w="320" w:type="dxa"/>
            <w:vAlign w:val="bottom"/>
          </w:tcPr>
          <w:p>
            <w:pPr>
              <w:spacing w:after="0"/>
              <w:rPr>
                <w:sz w:val="20"/>
                <w:szCs w:val="20"/>
                <w:color w:val="auto"/>
              </w:rPr>
            </w:pPr>
          </w:p>
        </w:tc>
        <w:tc>
          <w:tcPr>
            <w:tcW w:w="2880" w:type="dxa"/>
            <w:vAlign w:val="bottom"/>
            <w:tcBorders>
              <w:top w:val="single" w:sz="8" w:color="auto"/>
            </w:tcBorders>
            <w:gridSpan w:val="3"/>
          </w:tcPr>
          <w:p>
            <w:pPr>
              <w:ind w:left="660"/>
              <w:spacing w:after="0"/>
              <w:rPr>
                <w:sz w:val="20"/>
                <w:szCs w:val="20"/>
                <w:color w:val="auto"/>
              </w:rPr>
            </w:pPr>
            <w:r>
              <w:rPr>
                <w:rFonts w:ascii="Arial" w:cs="Arial" w:eastAsia="Arial" w:hAnsi="Arial"/>
                <w:sz w:val="18"/>
                <w:szCs w:val="18"/>
                <w:color w:val="auto"/>
              </w:rPr>
              <w:t>Amount</w:t>
            </w:r>
          </w:p>
        </w:tc>
        <w:tc>
          <w:tcPr>
            <w:tcW w:w="1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Percent</w:t>
            </w:r>
          </w:p>
        </w:tc>
        <w:tc>
          <w:tcPr>
            <w:tcW w:w="32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Existing stockholder</w:t>
            </w: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6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New investors</w:t>
            </w:r>
          </w:p>
        </w:tc>
        <w:tc>
          <w:tcPr>
            <w:tcW w:w="4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30"/>
        </w:trPr>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6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number of shares of our Class A common stock and Class B common stock to be outstanding immediately after this offering is based on</w:t>
      </w:r>
    </w:p>
    <w:p>
      <w:pPr>
        <w:spacing w:after="0" w:line="35" w:lineRule="exact"/>
        <w:rPr>
          <w:sz w:val="20"/>
          <w:szCs w:val="20"/>
          <w:color w:val="auto"/>
        </w:rPr>
      </w:pPr>
    </w:p>
    <w:p>
      <w:pPr>
        <w:jc w:val="both"/>
        <w:ind w:firstLine="476"/>
        <w:spacing w:after="0" w:line="260" w:lineRule="auto"/>
        <w:rPr>
          <w:sz w:val="20"/>
          <w:szCs w:val="20"/>
          <w:color w:val="auto"/>
        </w:rPr>
      </w:pPr>
      <w:r>
        <w:rPr>
          <w:rFonts w:ascii="Arial" w:cs="Arial" w:eastAsia="Arial" w:hAnsi="Arial"/>
          <w:sz w:val="18"/>
          <w:szCs w:val="18"/>
          <w:color w:val="auto"/>
        </w:rPr>
        <w:t>shares of our Class A common stock and shares of our Class B common stock outstanding as of , 2020 (as adjusted to give effect to the corporate conversion), and excludes the following:</w:t>
      </w:r>
    </w:p>
    <w:p>
      <w:pPr>
        <w:spacing w:after="0" w:line="185" w:lineRule="exact"/>
        <w:rPr>
          <w:sz w:val="20"/>
          <w:szCs w:val="20"/>
          <w:color w:val="auto"/>
        </w:rPr>
      </w:pPr>
    </w:p>
    <w:p>
      <w:pPr>
        <w:jc w:val="both"/>
        <w:ind w:left="980" w:hanging="324"/>
        <w:spacing w:after="0" w:line="259" w:lineRule="auto"/>
        <w:tabs>
          <w:tab w:leader="none" w:pos="15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our Class A common stock issuable upon exercise of stock options that will be granted to certain of our employees and our non-employee directors in connection with this offering under the 2020 Plan, which we expect will become effective immediately prior to the consummation of this offering, at an exercise price per share equal to the initial public offering price in this offering (see “Executive Compensation—Actions Taken in Connection with This Offering”);</w:t>
      </w:r>
    </w:p>
    <w:p>
      <w:pPr>
        <w:spacing w:after="0" w:line="187" w:lineRule="exact"/>
        <w:rPr>
          <w:sz w:val="20"/>
          <w:szCs w:val="20"/>
          <w:color w:val="auto"/>
        </w:rPr>
      </w:pPr>
    </w:p>
    <w:p>
      <w:pPr>
        <w:jc w:val="both"/>
        <w:ind w:left="980" w:hanging="323"/>
        <w:spacing w:after="0" w:line="279" w:lineRule="auto"/>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shares of our Class A common stock to be issued to Francesco Piovanetti, a member of our board of directors, in connection with this offering under the 2020 Plan and for his continuing service as chair of our audit committee and as an “audit committee financial expert” (subject to his qualification and appointment, as applicable), which represents a stock award equal to $100,000 divided by the initial public offering price in this offering (see “Executive Compensation—Actions Taken in Connection with This Offering”);</w:t>
      </w:r>
    </w:p>
    <w:p>
      <w:pPr>
        <w:spacing w:after="0" w:line="171" w:lineRule="exact"/>
        <w:rPr>
          <w:sz w:val="20"/>
          <w:szCs w:val="20"/>
          <w:color w:val="auto"/>
        </w:rPr>
      </w:pPr>
    </w:p>
    <w:p>
      <w:pPr>
        <w:ind w:left="1520" w:hanging="864"/>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shares of our Class A common stock reserved for future issuance under the 2020 Plan;</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1564"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shares of our Class A common stock to be issued to Fernando Alonso pursuant to a promotional services agreement entered into with Mr. Alonso, representing 3.0% of the issued and outstanding shares of our Class A common stock as of the closing date of this offering (see “Business—Marketing, Sales, and Distribution—Promotional Services Agreement with Fernando Alonso”); and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shares of our Class A common stock that may be issued outside of the 2020 Plan to Dmitry Kozko, our Chief Executive Officer, subject to the</w:t>
      </w:r>
    </w:p>
    <w:p>
      <w:pPr>
        <w:spacing w:after="0" w:line="46" w:lineRule="exact"/>
        <w:rPr>
          <w:sz w:val="20"/>
          <w:szCs w:val="20"/>
          <w:color w:val="auto"/>
        </w:rPr>
      </w:pPr>
    </w:p>
    <w:p>
      <w:pPr>
        <w:jc w:val="both"/>
        <w:ind w:left="980"/>
        <w:spacing w:after="0" w:line="281" w:lineRule="auto"/>
        <w:rPr>
          <w:sz w:val="20"/>
          <w:szCs w:val="20"/>
          <w:color w:val="auto"/>
        </w:rPr>
      </w:pPr>
      <w:r>
        <w:rPr>
          <w:rFonts w:ascii="Arial" w:cs="Arial" w:eastAsia="Arial" w:hAnsi="Arial"/>
          <w:sz w:val="16"/>
          <w:szCs w:val="16"/>
          <w:color w:val="auto"/>
        </w:rPr>
        <w:t>satisfaction of certain conditions as set forth in his employment agreement with us, including (i) up to shares that may be issued in connection with this offering representing 1.0% of the expected issued and outstanding shares of our Class A common stock as of the closing</w:t>
      </w:r>
    </w:p>
    <w:p>
      <w:pPr>
        <w:spacing w:after="0" w:line="1"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date of this offering and (ii) shares issuable upon exercise of stock options that may be granted in connection with this offering representing 2.0% of the expected issued and outstanding shares of our Class A common stock as of the closing date of this offering (see “Executive Compensation—Executive Employment Arrangements</w:t>
      </w:r>
      <w:r>
        <w:rPr>
          <w:rFonts w:ascii="Arial" w:cs="Arial" w:eastAsia="Arial" w:hAnsi="Arial"/>
          <w:sz w:val="18"/>
          <w:szCs w:val="18"/>
          <w:b w:val="1"/>
          <w:bCs w:val="1"/>
          <w:i w:val="1"/>
          <w:iCs w:val="1"/>
          <w:color w:val="auto"/>
        </w:rPr>
        <w:t>—</w:t>
      </w:r>
      <w:r>
        <w:rPr>
          <w:rFonts w:ascii="Arial" w:cs="Arial" w:eastAsia="Arial" w:hAnsi="Arial"/>
          <w:sz w:val="18"/>
          <w:szCs w:val="18"/>
          <w:color w:val="auto"/>
        </w:rPr>
        <w:t>Employment Agreement with Dmitry Kozko”).</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that options or other securities are issued under our equity incentive plans, or we issue additional shares of our Class A common stock or securities convertible into Class A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securities, the issuance of these securities could result in further dilution to our stockholders.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August 14, 2018, Motorsport Gaming US LLC acquired a 53.5% equity interest in 704Games. The selected historical financial data below includes (i) the selected historical consolidated financial data of Motorsport Gaming US LLC for the year ended December 31, 2019 and for the period from August 15, 2018 to December 31, 2018 and; (ii) the selected historical financial data of 704Games for the period from January 1, 2018 to August 14, 2018, which are derived from our audited consolidated financial statements and related notes appearing elsewhere in this prospectus. To assist with the period-to-period comparison, we have combined amounts from the Predecessor Period and the portion of the Successor Period from August 15, 2018 to December 31, 2018 without any other adjustments and refer to this combined period as the combined year ended December 31, 2018. This combination does not comply with U.S. GAAP or with the rules for pro forma presentation.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selected historical consolidated statement of operations data for the nine months ended September 30, 2020 and 2019 and the selected historical consolidated balance sheet data as of September 30, 2020 are derived from our unaudited interim consolidated financial statements included elsewhere in this prospectus.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historical results are not necessarily indicative of our future results, and our results for the nine months ended September 30, 2020 are not necessarily indicative of results to be expected for the full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90"/>
              </w:rPr>
              <w:t>Combined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84"/>
              </w:rPr>
              <w:t>Successor and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3"/>
          </w:tcPr>
          <w:p>
            <w:pPr>
              <w:jc w:val="right"/>
              <w:ind w:right="341"/>
              <w:spacing w:after="0"/>
              <w:rPr>
                <w:sz w:val="20"/>
                <w:szCs w:val="20"/>
                <w:color w:val="auto"/>
              </w:rPr>
            </w:pPr>
            <w:r>
              <w:rPr>
                <w:rFonts w:ascii="Arial" w:cs="Arial" w:eastAsia="Arial" w:hAnsi="Arial"/>
                <w:sz w:val="18"/>
                <w:szCs w:val="18"/>
                <w:b w:val="1"/>
                <w:bCs w:val="1"/>
                <w:color w:val="auto"/>
                <w:w w:val="90"/>
              </w:rPr>
              <w:t>Successor Period</w:t>
            </w:r>
          </w:p>
        </w:tc>
        <w:tc>
          <w:tcPr>
            <w:tcW w:w="400" w:type="dxa"/>
            <w:vAlign w:val="bottom"/>
          </w:tcPr>
          <w:p>
            <w:pPr>
              <w:spacing w:after="0"/>
              <w:rPr>
                <w:sz w:val="20"/>
                <w:szCs w:val="20"/>
                <w:color w:val="auto"/>
              </w:rPr>
            </w:pPr>
          </w:p>
        </w:tc>
        <w:tc>
          <w:tcPr>
            <w:tcW w:w="1420" w:type="dxa"/>
            <w:vAlign w:val="bottom"/>
            <w:gridSpan w:val="2"/>
          </w:tcPr>
          <w:p>
            <w:pPr>
              <w:jc w:val="center"/>
              <w:ind w:right="641"/>
              <w:spacing w:after="0"/>
              <w:rPr>
                <w:sz w:val="20"/>
                <w:szCs w:val="20"/>
                <w:color w:val="auto"/>
              </w:rPr>
            </w:pPr>
            <w:r>
              <w:rPr>
                <w:rFonts w:ascii="Arial" w:cs="Arial" w:eastAsia="Arial" w:hAnsi="Arial"/>
                <w:sz w:val="18"/>
                <w:szCs w:val="18"/>
                <w:b w:val="1"/>
                <w:bCs w:val="1"/>
                <w:color w:val="auto"/>
                <w:w w:val="87"/>
              </w:rPr>
              <w:t>Periods</w:t>
            </w:r>
          </w:p>
        </w:tc>
        <w:tc>
          <w:tcPr>
            <w:tcW w:w="180" w:type="dxa"/>
            <w:vAlign w:val="bottom"/>
          </w:tcPr>
          <w:p>
            <w:pPr>
              <w:spacing w:after="0"/>
              <w:rPr>
                <w:sz w:val="20"/>
                <w:szCs w:val="20"/>
                <w:color w:val="auto"/>
              </w:rPr>
            </w:pPr>
          </w:p>
        </w:tc>
        <w:tc>
          <w:tcPr>
            <w:tcW w:w="31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5"/>
              </w:rPr>
              <w:t>Successor Period</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4"/>
          </w:tcPr>
          <w:p>
            <w:pPr>
              <w:jc w:val="right"/>
              <w:ind w:right="770"/>
              <w:spacing w:after="0" w:line="198" w:lineRule="exact"/>
              <w:rPr>
                <w:sz w:val="20"/>
                <w:szCs w:val="20"/>
                <w:color w:val="auto"/>
              </w:rPr>
            </w:pPr>
            <w:r>
              <w:rPr>
                <w:rFonts w:ascii="Arial" w:cs="Arial" w:eastAsia="Arial" w:hAnsi="Arial"/>
                <w:sz w:val="18"/>
                <w:szCs w:val="18"/>
                <w:b w:val="1"/>
                <w:bCs w:val="1"/>
                <w:color w:val="auto"/>
              </w:rPr>
              <w:t>For the Years Ended</w:t>
            </w: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3"/>
          </w:tcPr>
          <w:p>
            <w:pPr>
              <w:jc w:val="center"/>
              <w:ind w:right="90"/>
              <w:spacing w:after="0" w:line="198" w:lineRule="exact"/>
              <w:rPr>
                <w:sz w:val="20"/>
                <w:szCs w:val="20"/>
                <w:color w:val="auto"/>
              </w:rPr>
            </w:pPr>
            <w:r>
              <w:rPr>
                <w:rFonts w:ascii="Arial" w:cs="Arial" w:eastAsia="Arial" w:hAnsi="Arial"/>
                <w:sz w:val="18"/>
                <w:szCs w:val="18"/>
                <w:b w:val="1"/>
                <w:bCs w:val="1"/>
                <w:color w:val="auto"/>
                <w:w w:val="91"/>
              </w:rPr>
              <w:t>For the Nine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78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1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11,850,787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14,756,777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4,428,627</w:t>
            </w:r>
          </w:p>
        </w:tc>
        <w:tc>
          <w:tcPr>
            <w:tcW w:w="40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5,138,147</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7,422,160</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9,618,630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12,598,273</w:t>
            </w:r>
          </w:p>
        </w:tc>
        <w:tc>
          <w:tcPr>
            <w:tcW w:w="40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10,780,510</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(5,176,113)</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(1,161,880)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Other (expense) income, net (1)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(579,451)</w:t>
            </w:r>
          </w:p>
        </w:tc>
        <w:tc>
          <w:tcPr>
            <w:tcW w:w="40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8,381</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(5,755,564)</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(1,153,499)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(5,755,564)</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(1,151,176)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Less: Net (loss) income attributable to noncontrolling</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(2,191,418)</w:t>
            </w:r>
          </w:p>
        </w:tc>
        <w:tc>
          <w:tcPr>
            <w:tcW w:w="400" w:type="dxa"/>
            <w:vAlign w:val="bottom"/>
          </w:tcPr>
          <w:p>
            <w:pPr>
              <w:spacing w:after="0"/>
              <w:rPr>
                <w:sz w:val="21"/>
                <w:szCs w:val="21"/>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859,461</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Net loss attributable to Motorsport Gaming US LLC</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(3,564,146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(2,010,637</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Pro forma net loss per share - basic and diluted (2)</w:t>
            </w: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gridSpan w:val="2"/>
            <w:vMerge w:val="continue"/>
          </w:tcPr>
          <w:p>
            <w:pPr>
              <w:spacing w:after="0"/>
              <w:rPr>
                <w:sz w:val="19"/>
                <w:szCs w:val="19"/>
                <w:color w:val="auto"/>
              </w:rPr>
            </w:pP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2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56"/>
        <w:spacing w:after="0" w:line="263" w:lineRule="auto"/>
        <w:tabs>
          <w:tab w:leader="none" w:pos="9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purpose of presenting selected historical consolidated financial data, we have aggregated interest income (expense), loss attributable to equity method investment, and other (expense) income, net from our consolidated statements of operations for the years ended December 31, 2019 and 2018 and for the nine months ended September 30, 2020 and 2019 into a single caption.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presented pro forma basic and diluted net loss per share for the year ended December 31, 2019 and for the nine months ended September 30, 2020, which consists of our historical net loss attributable to Motorsport Gaming US LLC, divided by the pro forma basic and diluted weighted average number of shares of our common stock outstanding after giving effect to the corporate conversion.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36"/>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w:t>
            </w:r>
          </w:p>
        </w:tc>
        <w:tc>
          <w:tcPr>
            <w:tcW w:w="2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1,960,279</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3,413,427</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7,129,632</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8,699,604</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12,777,274</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15,670,258</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9,165,314</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6,302,734</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members’ equity</w:t>
            </w:r>
          </w:p>
        </w:tc>
        <w:tc>
          <w:tcPr>
            <w:tcW w:w="2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3,611,960</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9,367,524</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Total liabilities and members’ equity</w:t>
            </w:r>
          </w:p>
        </w:tc>
        <w:tc>
          <w:tcPr>
            <w:tcW w:w="2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12,777,274</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15,670,258</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Working capital (deficiency)</w:t>
            </w:r>
          </w:p>
        </w:tc>
        <w:tc>
          <w:tcPr>
            <w:tcW w:w="2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(2,035,682)</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2,396,870</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9"/>
        </w:trPr>
        <w:tc>
          <w:tcPr>
            <w:tcW w:w="4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for the years ended December 31, 2019 and December 31, 2018 should be read in conjunction with the information included under “Business,” and our consolidated financial statements and the accompanying notes included elsewhere in this prospectus. The discussion and analysis below are based on comparisons between our historical financial data for different periods and include certain forward-looking statements about our business, operations and financial performance. These forward-looking statements are subject to risks, uncertainties, assumptions and other factors described in “Risk Factors.” Our actual results may differ materially from those expressed in, or implied by, those forward-looking statements. See “Cautionary Note Regarding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leading racing game developer, publisher and esports ecosystem provider of official motorsport racing series throughout the world, including NASCAR, the iconic 24 Hours of Le Mans endurance race (“Le Mans”) and the associated World Endurance Championship (the “WEC”), the British Touring Car Championship (the “BTCC”) and others. Through the support of our sole member, Motorsport Network, LLC (“Motorsport Network”), the largest global media company in the motorsport industry, our corporate mission is to create the preeminent motorsport gaming and esports entertainment ecosystem by delivering the highest quality, most sophisticated and innovative experiences for racers, gamers and fans of all ages. Our products and services target a large and underserved global motorsport audience. For 2019, Liberty Media estimates that the total global Formula 1 television audience reached 471 million unique viewers. Further, Le Mans estimates its total reach was approximately 100 million homes worldwide in 2019, while NASCAR reached approximately 475 million households in 2019 and the BTCC reached approximately 62 million households in 2019.</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Started in 2018 as a wholly-owned subsidiary of the Motorsport Network, we are currently the official developer and publisher of the NASCAR video game franchise and have obtained, or are in the process of obtaining, the exclusive licenses to develop multi-platform games for Le Mans and the BTCC. We develop and publish multi-platform racing video games including for game consoles, personal computer (PC) and mobile platforms through various retail and digital channels, including full-game and downloadable content (sometimes known as “games-as-a-service”). Since our formation, our NASCAR video games have sold over one million copies for game consoles and PCs.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striving to become a leader in organizing and facilitating esports tournaments, competitions, and events for our licensed racing games as well as on behalf of third-party racing game developers and publishers. Throughout the first half of 2020, we have facilitated 36 esports events, up from 22 esports events in all of 2019, which have included official esports events for NASCAR, 24 Hours of Le Mans, the Official World Rallycross Esports Championship, FIA Formula E and other race series. The total number of people that have watched our esports events in 2020 to date is approximately 43.3 million, up from a total of approximately 1.3 million viewers throughout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global spread of the COVID-19 pandemic has created significant business uncertainty for us and others, resulting in volatility and economic disruption. Additionally, the outbreak has resulted in government authorities around the world implementing numerous measures to try to reduce the spread of COVID-19, such as travel bans and restrictions, quarantines, shelter-in-place, stay-at-home or total lock-down (or similar) orders and business limitations and shutdowns.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both"/>
        <w:ind w:firstLine="648"/>
        <w:spacing w:after="0" w:line="253" w:lineRule="auto"/>
        <w:rPr>
          <w:sz w:val="20"/>
          <w:szCs w:val="20"/>
          <w:color w:val="auto"/>
        </w:rPr>
      </w:pPr>
      <w:r>
        <w:rPr>
          <w:rFonts w:ascii="Arial" w:cs="Arial" w:eastAsia="Arial" w:hAnsi="Arial"/>
          <w:sz w:val="18"/>
          <w:szCs w:val="18"/>
          <w:color w:val="auto"/>
        </w:rPr>
        <w:t>As a result of the COVID-19 pandemic, including the related responses from government authorities, our business and operations have been impacted, including the temporary closure of our offices in Orlando, Florida and Moscow, Russia, which has resulted in our employees working remotely. During the COVID-19 outbreak, demand for our games has generally increased, which we believe is primarily attributable to a higher number of consumers staying at home due to COVID-19 related restrictions. Similarly, there has been a significant increase in viewership of our esports events since the initial impact of the virus, as these events began to air on both digital and linear platforms, particularly as we were able attract many of the top “real world” motorsport stars to compete. However, several retailers have experienced, and continue to experience, closures, reduced operating hours and/or other restrictions as a result of the COVID-19 pandemic, which has negatively impacted the sales of our products from such retailers. Additionally, in our esports business, the COVID-19 pandemic has resulted in the postponing of certain events to later dates or shifting events from an in-person format to online only.</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monitor the evolving situation caused by the COVID-19 pandemic, and we may take further actions required by governmental authorities or that we determine are prudent to support the well-being of our employees, suppliers, business partners and others. The degree to which the COVID-19 pandemic impacts our operations, business, financial results, liquidity, and financial condition will depend on future developments, which are highly uncertain, continuously evolving and cannot be predicted. This includes, but is not limited to, the duration and spread of the pandemic, its severity, actions to contain the virus or treat its impact, and how quickly and to what extent normal economic and operating conditions can resume. Adverse economic and market conditions as a result of COVID-19 could also adversely affect the demand for our products and may also impact the ability of our customers to satisfy their obligations to us.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the section entitled “Risks Factors” in this prospectus for additional risks we face due to the COVID-19 pandemic.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British Touring Car Championship License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we secured a multi-year licensing agreement to exclusively develop and publish the video games for the BTCC racing series across console, mobile and casual gaming channels. In addition, through this license, we have the right to create and organize esports leagues and events for the BTCC racing series. Our license with the BTCC expires on December 31, 2026.</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Purchase Agreement – 704Games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18, 2020, we entered into a stock purchase agreement with HC2 Holdings 2, Inc. (“HC2”) and Continental General Insurance Company (“Continental”) in which we agreed to purchase an aggregate of 106,307 shares of common stock of 704Games Company (“704Games”), which is equal to 26% of the outstanding equity interests of 704Games, at a price of $11.2881 per share for an aggregate consideration of approximately $1,200,000. If, within and including the date that is six months from the date of the agreement, we complete a purchase of some or all of the (i) 41,204 shares of common stock held by Gaming Nation, Inc. or its affiliates or transferees, (ii) 30,903 shares of common stock held by PlayFast Games, LLC or its affiliates or transferees and (iii) 10,301 shares of common stock held by Leo Capital Holdings, LLC or its affiliates or transferees, (the “Subject Shares”) at a purchase price higher than $11.2881 per share, then, no later than five days following the completion of such purchase, we shall pay each of HC2 and Continental an amount per share equal to the amount by which such purchase price per Subject Share exceeds the greater of (a) $11.2881 or (b) the highest price per share previously paid by the Company for any Subject Shares. Following our purchase of these shares, our ownership interest in 704Games increased to 79.7% from 53.5%.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NASCAR Heat 5 Product Release</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NASCAR Heat 5 is a racing video game simulating the 2020 NASCAR season. NASCAR Heat 5 was developed by 704Games and published by Motorsport Games on July 10, 2020 for PlayStation 4, Xbox One and Microsoft Windows via Steam. We are also expanding our supported platforms to include the Nintendo Switch and expect to launch NASCAR Heat 5 on the Nintendo Switch platform in time for the 2020 holiday season.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Trends and Factors Affecting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Release Schedule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financial results are affected by the timing of our product releases and the commercial success of those titles. Our NASCAR Heat products have historically accounted for the majority of our revenue. We have recently obtained, or are in the process of obtaining, the exclusive licenses to develop multi-platform games for Le Mans and the BTCC. Going forward, we intend to expand our license arrangements to other internationally recognized racing series and the platforms we operate on. We believe that having a broader product portfolio will improve our operating results and provide a revenue stream that is less cyclical based on the release of a single game per year.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Economic Environment and Retailer Performance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physical gaming products are sold primarily through a distribution network with exclusive partners who specialize in the distribution of games, including through mass-market retailers (e.g., Target, Wal-Mart), consumer electronics stores (e.g., Best Buy), discount warehouses, game specialty stores (e.g., GameStop) and other online retail stores (e.g., Amazon). We currently derive, and expect to continue to derive, significant revenues from sales of our products to a very limited number of distribution partners. For the year ended December 31, 2019, we had one distribution partner through which we sold substantially all of our products for the retail market, which represented approximately 40% of our total revenue in 2019. See “Risk Factors—Risks Related to Our Business and Industry—The importance of retail sales to our business exposes us to the risks of that business model” and “Risk Factors— Risks Related to Our Business and Industry—We primarily depend on a single third-party distribution partner to distribute our games for the retail channel, and our ability to negotiate favorable terms with such partner and its continued willingness to purchase our games is critical for our business” for additional information regarding the importance of retail sales and our distribution partners to our business.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we continue to monitor economic conditions, including the impact of the COVID-19 pandemic, that may unfavorably affect our businesses, such as deteriorating consumer demand, delays in development, pricing pressure on our products, credit quality of our receivables and foreign currency exchange rates. The COVID-19 pandemic has affected and may continue to affect our business operations, including our employees, customers, partners, and communities, and there is substantial uncertainty in the nature and degree of its continued effects over time. For example, several retailers have experienced, and continue to experience, closures, reduced operating hours and/or other restrictions as a result of the COVID-19 pandemic, which has negatively impacted the sales of our products from such retailers. See “—Recent Developments—COVID-19” for additional information regarding the impact of COVID-19 on our business and operations.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Hardware Platforms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derive most of our revenue from the sale of products made for video game consoles manufactured by third parties, such as Sony Interactive Entertainment Inc.’s (“Sony”) PS4 and Microsoft Corporation’s (“Microsoft”) Xbox One, which comprised 85% of our net revenue by product platform for the fiscal year ended December 31, 2019. The success of our business is dependent upon consumer acceptance of these platforms and continued growth in the installed base of these platforms. When new hardware platforms are introduced, such as those slated for release in late 2020 by Sony and Microsoft, demand for interactive entertainment used on older platforms typically declines, which may negatively affect our business during the market transition to the new consoles. The new Sony and Microsoft consoles are expected to provide “backwards compatibility” (i.e., the ability to play games for the previous generation of consoles), which could mitigate the risk of such a decline. However, we cannot be certain how backwards compatibility will affect demand for our products.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Digital Business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Players increasingly purchase our games as digital downloads, as opposed to purchasing physical discs, and engage with other players online. All of our titles that are available through retailers as packaged goods products are also available through direct digital download. In addition, we aim to drive ongoing engagement and incremental revenue from recurrent consumer spending on our titles through in-game purchases and extra content.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b w:val="1"/>
          <w:bCs w:val="1"/>
          <w:i w:val="1"/>
          <w:iCs w:val="1"/>
          <w:color w:val="auto"/>
        </w:rPr>
        <w:t>Esports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striving to become a leader in organizing and facilitating esports tournaments, competitions, and events for our licensed racing games as well as on behalf of third-party racing game developers and publishers. Throughout the first half of 2020, we have facilitated 36 esports events, up from 22 esports events in all of 2019, which have included official esports events for NASCAR, 24 Hours of Le Mans, the Official World Rallycross Esports Championship, FIA Formula E and other race series. The total number of people that have watched our esports events in 2020 to date is approximately 43.3 million, up from a total of approximately 1.3 million viewers throughout 2019. As we continue to add to our existing portfolio of games centered around popular licensed racing series, this will provide us the opportunity to further grow our esports business by having more titles to produce our esports events. Our net revenue attributable to esports and other services comprised 0.6% of our total net revenue during fiscal year 2019, and we expect that revenue from this line of business will continue to increase and become material to our business moving forward.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Technological Infrastructure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our digital business has grown, our games and services increasingly depend on the reliability, availability and security of our technological infrastructure. We are investing and expect to continue to invest in technology, hardware and software to support our games and services, including with respect to security protections. Our industry is prone to, and our systems and networks are subject to, cyberattacks, computer viruses, worms, phishing attacks, malicious software programs, and other information security incidents that seek to exploit, disable, damage, disrupt or gain access to our networks, our products and services, supporting technological infrastructure, intellectual property and other assets. As a result, we continually face cyber risks and threats that seek to damage, disrupt or gain access to our networks and our gaming platform, supporting infrastructure, intellectual property and other assets.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Rapidly Changing Industry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operate in a dynamic industry that regularly experiences periods of rapid, fundamental change. In order to remain successful, we are required to anticipate, sometimes years in advance, the ways in which our products and services will compete in the market. We adapt our business by investing in creative and technical talent and new technologies, evolving our business strategies and distribution methods and developing new and engaging products and services. For example, the global adoption of mobile devices and a business model for those devices that allows consumers to try new games with no up-front cost, and that are monetized through service associated with the game, has led to significant growth in the mobile gaming industry, which we believe is a continuing trend. Accordingly, in conjunction with the launch of our new NASCAR console game, we plan to launch a new, redesigned NASCAR Heat Mobile in 2021, which is our NASCAR mobile racing game that will also be developed internally. Given the recent popularity and fast growing nature of the branded casual game experience, we also plan to introduce a slate of NASCAR branded casual gaming options, starting with the officially licensed NASCAR “match three” game in 2021. In addition, we have a roadmap for the development of more than a dozen anticipated mobile games, including multiple mobile products for each of our racing series.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Revenue Sources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business model includes revenue that we deem recurring in nature, such as revenue from our annualized sports franchise (currently NASCAR Heat) for game consoles, PC and mobile platforms. We have been able to forecast the revenue from this area of our business with greater relative confidence than for new games, services and business models. As we continue to incorporate new business models and modalities of play into our games, our goal is to continue to look for opportunities to expand the recurring portion of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“the management approach” in determining reportable operating segments. The management approach considers the internal organization and reporting used by our chief operating decision maker for making operating decisions and assessing performance as the source for determining our reportable segments. Our chief operating decision maker is our Chief Executive Officer (“CEO”), who reviews operating results to make decisions about allocating resources and assessing performance for the entire company. We classified our reportable operating segments into (i) the development and publishing of interactive racing video games, entertainment content and services (the “Gaming segment”) and (ii) the organization and facilitation of esports tournaments, competitions and events for our licensed racing games as well as on behalf of third-party video game racing series and other video game publishers (the “esports segment”).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historically derived substantially all revenue from sales of our games and related extra content that can be played by customers on a variety of platforms, including game consoles, mobile phones, PCs and tablets. Starting in 2019, we began generating sponsorship revenues from our production of live and virtual esports events.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and service offerings include, but are not limited to, full console and mobile games with both online and offline functionality, which generally include:</w:t>
      </w:r>
    </w:p>
    <w:p>
      <w:pPr>
        <w:spacing w:after="0" w:line="170" w:lineRule="exact"/>
        <w:rPr>
          <w:sz w:val="20"/>
          <w:szCs w:val="20"/>
          <w:color w:val="auto"/>
        </w:rPr>
      </w:pPr>
    </w:p>
    <w:p>
      <w:pPr>
        <w:ind w:left="920" w:hanging="264"/>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initial game delivered digitally or via physical disc at the time of sale and typically provides access to offline core game content;</w:t>
      </w:r>
    </w:p>
    <w:p>
      <w:pPr>
        <w:spacing w:after="0" w:line="34" w:lineRule="exact"/>
        <w:rPr>
          <w:rFonts w:ascii="Arial" w:cs="Arial" w:eastAsia="Arial" w:hAnsi="Arial"/>
          <w:sz w:val="17"/>
          <w:szCs w:val="17"/>
          <w:color w:val="auto"/>
        </w:rPr>
      </w:pPr>
    </w:p>
    <w:p>
      <w:pPr>
        <w:ind w:left="660" w:hanging="4"/>
        <w:spacing w:after="0" w:line="250" w:lineRule="auto"/>
        <w:tabs>
          <w:tab w:leader="none" w:pos="9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updates on a when-and-if-available basis, such as software patches or updates, and/or additional content to be delivered in the future, both paid and free; and</w:t>
      </w: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online hosting of esports events.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Cost of revenues for our Gaming segment is primarily comprised of royalty expenses attributable to our license arrangement with NASCAR and certain other third-parties relating to our NASCAR racing series games. Cost of revenues for our Gaming segment is also comprised of merchant fees, disc manufacturing costs, packaging costs, shipping costs, warehouse costs, distribution fees to distribute products to retail stores and mobile platform fees associated with our mobile revenue (for transactions in which we are acting as the principal in the sale to the end customer). Cost of revenues for our esports segment consists of the cost of producing esports events and paying prize money.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Sales and marketing expenses are primarily composed of salaries, benefits and related taxes of our in-house marketing teams, advertising, marketing and promotional expenses, including fees paid to social media platforms, Motorsport Network and other websites where we market our products.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Development expenses consist of the cost to develop the games we produce, as well as developing the content that we use in our esports leagues. Development expenses include salaries, benefits and operating expenses of our in-house development teams, as well as consulting expenses for any contracted external development. Development expenses also include expenses associated with our digital platform, software licenses, maintenance and development overhead.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General and administrative expenses consist primarily of salaries, benefits and other costs associated with our operations including, finance, human resources, information technology, public relations, legal audit and compliance fees, facilities and other external general and administrative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Depreciation and amortization expenses include depreciation on fixed assets (primarily computers and office equipment), as well as amortization of definite lived intangible assets acquired with the acquisition of 704Games in August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results of operations are discussed herein:</w:t>
      </w:r>
    </w:p>
    <w:p>
      <w:pPr>
        <w:spacing w:after="0" w:line="225" w:lineRule="exact"/>
        <w:rPr>
          <w:sz w:val="20"/>
          <w:szCs w:val="20"/>
          <w:color w:val="auto"/>
        </w:rPr>
      </w:pPr>
    </w:p>
    <w:p>
      <w:pPr>
        <w:ind w:left="980" w:right="20" w:hanging="324"/>
        <w:spacing w:after="0" w:line="25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results of operations of Motorsport Gaming US LLC for the year ended December 31, 2019 and for the period from August 15, 2018 to December 31, 2018 (the “Successor Period”);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operations of 704Games for the period from January 1, 2018 to August 14, 2018 (the “Predecessor Period”).</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To assist with the period-to-period comparison, we have combined amounts from the Predecessor Period and the portion of the Successor Period from August 15, 2018 to December 31, 2018 without any other adjustments and refer to this combined period as the combined year ended December 31, 2018. Unless otherwise indicated, all results presented for 2018 represent the combined year ended December 31, 2018. This combination does not comply with generally accepted accounting principles in the United States of America (“U.S. GAAP”) or with the rules for pro forma presentation.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9220" w:type="dxa"/>
            <w:vAlign w:val="bottom"/>
            <w:gridSpan w:val="6"/>
          </w:tcPr>
          <w:p>
            <w:pPr>
              <w:ind w:left="660"/>
              <w:spacing w:after="0"/>
              <w:rPr>
                <w:sz w:val="20"/>
                <w:szCs w:val="20"/>
                <w:color w:val="auto"/>
              </w:rPr>
            </w:pPr>
            <w:r>
              <w:rPr>
                <w:rFonts w:ascii="Arial" w:cs="Arial" w:eastAsia="Arial" w:hAnsi="Arial"/>
                <w:sz w:val="18"/>
                <w:szCs w:val="18"/>
                <w:b w:val="1"/>
                <w:bCs w:val="1"/>
                <w:i w:val="1"/>
                <w:iCs w:val="1"/>
                <w:color w:val="auto"/>
              </w:rPr>
              <w:t>Year Ended December 31, 2019 Compared with Combined Year Ended December 31, 2018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20" w:type="dxa"/>
            <w:vAlign w:val="bottom"/>
            <w:gridSpan w:val="6"/>
          </w:tcPr>
          <w:p>
            <w:pPr>
              <w:ind w:left="660"/>
              <w:spacing w:after="0"/>
              <w:rPr>
                <w:sz w:val="20"/>
                <w:szCs w:val="20"/>
                <w:color w:val="auto"/>
              </w:rPr>
            </w:pPr>
            <w:r>
              <w:rPr>
                <w:rFonts w:ascii="Arial" w:cs="Arial" w:eastAsia="Arial" w:hAnsi="Arial"/>
                <w:sz w:val="18"/>
                <w:szCs w:val="18"/>
                <w:color w:val="auto"/>
              </w:rPr>
              <w:t>The following table presents our results of operations for the year ended December 31, 2019 and 2018: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1"/>
              </w:rPr>
              <w:t>Successor</w:t>
            </w: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and Predecessor</w:t>
            </w:r>
          </w:p>
        </w:tc>
      </w:tr>
      <w:tr>
        <w:trPr>
          <w:trHeight w:val="241"/>
        </w:trPr>
        <w:tc>
          <w:tcPr>
            <w:tcW w:w="5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Successor Period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Periods</w:t>
            </w:r>
          </w:p>
        </w:tc>
      </w:tr>
      <w:tr>
        <w:trPr>
          <w:trHeight w:val="198"/>
        </w:trPr>
        <w:tc>
          <w:tcPr>
            <w:tcW w:w="5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jc w:val="center"/>
              <w:ind w:right="101"/>
              <w:spacing w:after="0" w:line="198" w:lineRule="exact"/>
              <w:rPr>
                <w:sz w:val="20"/>
                <w:szCs w:val="20"/>
                <w:color w:val="auto"/>
              </w:rPr>
            </w:pPr>
            <w:r>
              <w:rPr>
                <w:rFonts w:ascii="Arial" w:cs="Arial" w:eastAsia="Arial" w:hAnsi="Arial"/>
                <w:sz w:val="18"/>
                <w:szCs w:val="18"/>
                <w:b w:val="1"/>
                <w:bCs w:val="1"/>
                <w:color w:val="auto"/>
                <w:w w:val="92"/>
              </w:rPr>
              <w:t>For the Year Ended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For the Year Ended</w:t>
            </w:r>
          </w:p>
        </w:tc>
      </w:tr>
      <w:tr>
        <w:trPr>
          <w:trHeight w:val="241"/>
        </w:trPr>
        <w:tc>
          <w:tcPr>
            <w:tcW w:w="5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December 31, 2019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December 31, 2018</w:t>
            </w: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11,850,787</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14,756,777</w:t>
            </w:r>
          </w:p>
        </w:tc>
      </w:tr>
      <w:tr>
        <w:trPr>
          <w:trHeight w:val="237"/>
        </w:trPr>
        <w:tc>
          <w:tcPr>
            <w:tcW w:w="5800" w:type="dxa"/>
            <w:vAlign w:val="bottom"/>
          </w:tcPr>
          <w:p>
            <w:pPr>
              <w:spacing w:after="0"/>
              <w:rPr>
                <w:sz w:val="20"/>
                <w:szCs w:val="20"/>
                <w:color w:val="auto"/>
              </w:rPr>
            </w:pPr>
            <w:r>
              <w:rPr>
                <w:rFonts w:ascii="Arial" w:cs="Arial" w:eastAsia="Arial" w:hAnsi="Arial"/>
                <w:sz w:val="18"/>
                <w:szCs w:val="18"/>
                <w:color w:val="auto"/>
              </w:rPr>
              <w:t>Cost of revenues</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41"/>
              <w:spacing w:after="0"/>
              <w:rPr>
                <w:sz w:val="20"/>
                <w:szCs w:val="20"/>
                <w:color w:val="auto"/>
              </w:rPr>
            </w:pPr>
            <w:r>
              <w:rPr>
                <w:rFonts w:ascii="Arial" w:cs="Arial" w:eastAsia="Arial" w:hAnsi="Arial"/>
                <w:sz w:val="18"/>
                <w:szCs w:val="18"/>
                <w:color w:val="auto"/>
              </w:rPr>
              <w:t>4,428,627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5,138,147</w:t>
            </w:r>
          </w:p>
        </w:tc>
        <w:tc>
          <w:tcPr>
            <w:tcW w:w="80" w:type="dxa"/>
            <w:vAlign w:val="bottom"/>
          </w:tcPr>
          <w:p>
            <w:pPr>
              <w:spacing w:after="0"/>
              <w:rPr>
                <w:sz w:val="20"/>
                <w:szCs w:val="20"/>
                <w:color w:val="auto"/>
              </w:rPr>
            </w:pPr>
          </w:p>
        </w:tc>
      </w:tr>
      <w:tr>
        <w:trPr>
          <w:trHeight w:val="223"/>
        </w:trPr>
        <w:tc>
          <w:tcPr>
            <w:tcW w:w="5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7,422,160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9,618,630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Sales and marketing (1)</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1"/>
              <w:spacing w:after="0"/>
              <w:rPr>
                <w:sz w:val="20"/>
                <w:szCs w:val="20"/>
                <w:color w:val="auto"/>
              </w:rPr>
            </w:pPr>
            <w:r>
              <w:rPr>
                <w:rFonts w:ascii="Arial" w:cs="Arial" w:eastAsia="Arial" w:hAnsi="Arial"/>
                <w:sz w:val="18"/>
                <w:szCs w:val="18"/>
                <w:color w:val="auto"/>
              </w:rPr>
              <w:t>3,771,570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3,544,600</w:t>
            </w: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(2)</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4,784,034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3,902,116</w:t>
            </w:r>
          </w:p>
        </w:tc>
        <w:tc>
          <w:tcPr>
            <w:tcW w:w="80" w:type="dxa"/>
            <w:vAlign w:val="bottom"/>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1"/>
              <w:spacing w:after="0"/>
              <w:rPr>
                <w:sz w:val="20"/>
                <w:szCs w:val="20"/>
                <w:color w:val="auto"/>
              </w:rPr>
            </w:pPr>
            <w:r>
              <w:rPr>
                <w:rFonts w:ascii="Arial" w:cs="Arial" w:eastAsia="Arial" w:hAnsi="Arial"/>
                <w:sz w:val="18"/>
                <w:szCs w:val="18"/>
                <w:color w:val="auto"/>
              </w:rPr>
              <w:t>2,605,782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2,872,305</w:t>
            </w: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861,872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461,489</w:t>
            </w:r>
          </w:p>
        </w:tc>
        <w:tc>
          <w:tcPr>
            <w:tcW w:w="80" w:type="dxa"/>
            <w:vAlign w:val="bottom"/>
            <w:shd w:val="clear" w:color="auto" w:fill="CCEEFF"/>
          </w:tcPr>
          <w:p>
            <w:pPr>
              <w:spacing w:after="0"/>
              <w:rPr>
                <w:sz w:val="18"/>
                <w:szCs w:val="18"/>
                <w:color w:val="auto"/>
              </w:rPr>
            </w:pPr>
          </w:p>
        </w:tc>
      </w:tr>
      <w:tr>
        <w:trPr>
          <w:trHeight w:val="237"/>
        </w:trPr>
        <w:tc>
          <w:tcPr>
            <w:tcW w:w="5800" w:type="dxa"/>
            <w:vAlign w:val="bottom"/>
          </w:tcPr>
          <w:p>
            <w:pPr>
              <w:ind w:left="180"/>
              <w:spacing w:after="0"/>
              <w:rPr>
                <w:sz w:val="20"/>
                <w:szCs w:val="20"/>
                <w:color w:val="auto"/>
              </w:rPr>
            </w:pPr>
            <w:r>
              <w:rPr>
                <w:rFonts w:ascii="Arial" w:cs="Arial" w:eastAsia="Arial" w:hAnsi="Arial"/>
                <w:sz w:val="18"/>
                <w:szCs w:val="18"/>
                <w:color w:val="auto"/>
              </w:rPr>
              <w:t>Loss on impairment of goodwill</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41"/>
              <w:spacing w:after="0"/>
              <w:rPr>
                <w:sz w:val="20"/>
                <w:szCs w:val="20"/>
                <w:color w:val="auto"/>
              </w:rPr>
            </w:pPr>
            <w:r>
              <w:rPr>
                <w:rFonts w:ascii="Arial" w:cs="Arial" w:eastAsia="Arial" w:hAnsi="Arial"/>
                <w:sz w:val="18"/>
                <w:szCs w:val="18"/>
                <w:color w:val="auto"/>
              </w:rPr>
              <w:t>575,015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36"/>
        </w:trPr>
        <w:tc>
          <w:tcPr>
            <w:tcW w:w="58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10,780,510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5800" w:type="dxa"/>
            <w:vAlign w:val="bottom"/>
          </w:tcPr>
          <w:p>
            <w:pPr>
              <w:ind w:left="360"/>
              <w:spacing w:after="0" w:line="203" w:lineRule="exact"/>
              <w:rPr>
                <w:sz w:val="20"/>
                <w:szCs w:val="20"/>
                <w:color w:val="auto"/>
              </w:rPr>
            </w:pPr>
            <w:r>
              <w:rPr>
                <w:rFonts w:ascii="Arial" w:cs="Arial" w:eastAsia="Arial" w:hAnsi="Arial"/>
                <w:sz w:val="18"/>
                <w:szCs w:val="18"/>
                <w:color w:val="auto"/>
              </w:rPr>
              <w:t>Loss From Operations</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color w:val="auto"/>
              </w:rPr>
              <w:t>(5,176,113)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color w:val="auto"/>
              </w:rPr>
              <w:t>(1,161,880)</w:t>
            </w:r>
          </w:p>
        </w:tc>
        <w:tc>
          <w:tcPr>
            <w:tcW w:w="100" w:type="dxa"/>
            <w:vAlign w:val="bottom"/>
            <w:gridSpan w:val="2"/>
          </w:tcPr>
          <w:p>
            <w:pPr>
              <w:spacing w:after="0"/>
              <w:rPr>
                <w:sz w:val="17"/>
                <w:szCs w:val="17"/>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35,728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(26,250)</w:t>
            </w: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Loss attributable to equity method investment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(608,656)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34,631</w:t>
            </w:r>
          </w:p>
        </w:tc>
      </w:tr>
      <w:tr>
        <w:trPr>
          <w:trHeight w:val="203"/>
        </w:trPr>
        <w:tc>
          <w:tcPr>
            <w:tcW w:w="58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Loss Before Income Taxes</w:t>
            </w:r>
          </w:p>
        </w:tc>
        <w:tc>
          <w:tcPr>
            <w:tcW w:w="1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(5,755,564)</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(1,153,499)</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80" w:type="dxa"/>
            <w:vAlign w:val="bottom"/>
            <w:shd w:val="clear" w:color="auto" w:fill="CCEEFF"/>
          </w:tcPr>
          <w:p>
            <w:pPr>
              <w:spacing w:after="0"/>
              <w:rPr>
                <w:sz w:val="21"/>
                <w:szCs w:val="21"/>
                <w:color w:val="auto"/>
              </w:rPr>
            </w:pPr>
          </w:p>
        </w:tc>
      </w:tr>
      <w:tr>
        <w:trPr>
          <w:trHeight w:val="203"/>
        </w:trPr>
        <w:tc>
          <w:tcPr>
            <w:tcW w:w="58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Net Loss</w:t>
            </w:r>
          </w:p>
        </w:tc>
        <w:tc>
          <w:tcPr>
            <w:tcW w:w="1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(5,755,564)</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(1,151,176)</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(loss) income attributable to noncontrolling interest</w:t>
            </w: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(2,191,418)</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859,461</w:t>
            </w:r>
          </w:p>
        </w:tc>
        <w:tc>
          <w:tcPr>
            <w:tcW w:w="80" w:type="dxa"/>
            <w:vAlign w:val="bottom"/>
            <w:shd w:val="clear" w:color="auto" w:fill="CCEEFF"/>
          </w:tcPr>
          <w:p>
            <w:pPr>
              <w:spacing w:after="0"/>
              <w:rPr>
                <w:sz w:val="21"/>
                <w:szCs w:val="21"/>
                <w:color w:val="auto"/>
              </w:rPr>
            </w:pPr>
          </w:p>
        </w:tc>
      </w:tr>
      <w:tr>
        <w:trPr>
          <w:trHeight w:val="217"/>
        </w:trPr>
        <w:tc>
          <w:tcPr>
            <w:tcW w:w="5800" w:type="dxa"/>
            <w:vAlign w:val="bottom"/>
            <w:tcBorders>
              <w:top w:val="single" w:sz="8" w:color="CCEEFF"/>
            </w:tcBorders>
          </w:tcPr>
          <w:p>
            <w:pPr>
              <w:ind w:left="360"/>
              <w:spacing w:after="0"/>
              <w:rPr>
                <w:sz w:val="20"/>
                <w:szCs w:val="20"/>
                <w:color w:val="auto"/>
              </w:rPr>
            </w:pPr>
            <w:r>
              <w:rPr>
                <w:rFonts w:ascii="Arial" w:cs="Arial" w:eastAsia="Arial" w:hAnsi="Arial"/>
                <w:sz w:val="18"/>
                <w:szCs w:val="18"/>
                <w:b w:val="1"/>
                <w:bCs w:val="1"/>
                <w:color w:val="auto"/>
              </w:rPr>
              <w:t>Net Loss Attributable to Motorsport Gaming US LLC</w:t>
            </w: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(3,564,146</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(2,010,637</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related party expenses of $593,094 and $364,294 for the years ended December 31, 2019 and 2018, respectively.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related party expenses of $15,229 and $108,375 for the years ended December 31, 2019 and 2018, respectively.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Revenues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the years ended December 31, 2019 and 2018, revenues consisted of the following:</w:t>
      </w:r>
    </w:p>
    <w:p>
      <w:pPr>
        <w:spacing w:after="0" w:line="221"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Gaming</w:t>
            </w:r>
          </w:p>
        </w:tc>
        <w:tc>
          <w:tcPr>
            <w:tcW w:w="19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11,775,787</w:t>
            </w:r>
          </w:p>
        </w:tc>
        <w:tc>
          <w:tcPr>
            <w:tcW w:w="18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14,756,777</w:t>
            </w:r>
          </w:p>
        </w:tc>
        <w:tc>
          <w:tcPr>
            <w:tcW w:w="60" w:type="dxa"/>
            <w:vAlign w:val="bottom"/>
          </w:tcPr>
          <w:p>
            <w:pPr>
              <w:spacing w:after="0"/>
              <w:rPr>
                <w:sz w:val="18"/>
                <w:szCs w:val="18"/>
                <w:color w:val="auto"/>
              </w:rPr>
            </w:pPr>
          </w:p>
        </w:tc>
      </w:tr>
      <w:tr>
        <w:trPr>
          <w:trHeight w:val="25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1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16"/>
        </w:trPr>
        <w:tc>
          <w:tcPr>
            <w:tcW w:w="4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segment and consolidated revenues</w:t>
            </w:r>
          </w:p>
        </w:tc>
        <w:tc>
          <w:tcPr>
            <w:tcW w:w="16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11,850,787</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14,756,777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 the year ended December 31, 2019, revenues from our Gaming segment decreased by $2,980,990, or 20%, to $11,775,787 from $14,756,777 for the year ended December 31, 2018. The decrease in revenue compared to the prior year period was primarily due to a lower volume of sales of our NASCAR Heat 4 game launched in 2019 compared to the volume of sales of our NASCAR Heat 3 game launched in 2018.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revenues from our esports segment consisted of $75,000 of sponsorship revenue from Coca-Cola for an eNASCAR Heat Pro League (“eNHPL”) event held in 2019. We did not earn any revenue from our esports segment for the year ended December 31, 2018. During 2018, we began developing our esports technology platform, and our first event was held in November of 2018 to test the esports concept. This was primarily a marketing event to promote NASCAR Heat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2019 and 2018, cost of revenues consisted of the following:</w:t>
      </w:r>
    </w:p>
    <w:p>
      <w:pPr>
        <w:spacing w:after="0" w:line="221"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Gaming</w:t>
            </w:r>
          </w:p>
        </w:tc>
        <w:tc>
          <w:tcPr>
            <w:tcW w:w="1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w w:val="97"/>
              </w:rPr>
              <w:t>4,406,127</w:t>
            </w:r>
          </w:p>
        </w:tc>
        <w:tc>
          <w:tcPr>
            <w:tcW w:w="18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5,138,147</w:t>
            </w:r>
          </w:p>
        </w:tc>
        <w:tc>
          <w:tcPr>
            <w:tcW w:w="60" w:type="dxa"/>
            <w:vAlign w:val="bottom"/>
          </w:tcPr>
          <w:p>
            <w:pPr>
              <w:spacing w:after="0"/>
              <w:rPr>
                <w:sz w:val="18"/>
                <w:szCs w:val="18"/>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4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segment and consolidated cost of revenues</w:t>
            </w:r>
          </w:p>
        </w:tc>
        <w:tc>
          <w:tcPr>
            <w:tcW w:w="14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7"/>
              </w:rPr>
              <w:t>4,428,627</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5,138,147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2019, cost of revenues from our Gaming segment decreased by $732,020, or 14%, to $4,406,127 from $5,138,147 for the year ended December 31, 2018, primarily due to a lower volume of sales of our NASCAR Heat 4 game launched in 2019 compared to the volume of sales of our NASCAR Heat 3 game launched in 2018.</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year ended December 31, 2019, cost of revenues from our esports segment was $22,500 related to the eNHPL event, whereas there was no cost of revenues for the year ended December 31, 2018 since we did not generate any revenue from our esports segment in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2019 and 2018, gross profit and gross margin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5"/>
          </w:tcPr>
          <w:p>
            <w:pPr>
              <w:ind w:left="840"/>
              <w:spacing w:after="0"/>
              <w:rPr>
                <w:sz w:val="20"/>
                <w:szCs w:val="20"/>
                <w:color w:val="auto"/>
              </w:rPr>
            </w:pPr>
            <w:r>
              <w:rPr>
                <w:rFonts w:ascii="Arial" w:cs="Arial" w:eastAsia="Arial" w:hAnsi="Arial"/>
                <w:sz w:val="18"/>
                <w:szCs w:val="18"/>
                <w:b w:val="1"/>
                <w:bCs w:val="1"/>
                <w:color w:val="auto"/>
              </w:rPr>
              <w:t>For the Years Ended</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4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43"/>
        </w:trPr>
        <w:tc>
          <w:tcPr>
            <w:tcW w:w="4280" w:type="dxa"/>
            <w:vAlign w:val="bottom"/>
            <w:shd w:val="clear" w:color="auto" w:fill="CCEEFF"/>
          </w:tcPr>
          <w:p>
            <w:pPr>
              <w:jc w:val="center"/>
              <w:ind w:right="3270"/>
              <w:spacing w:after="0"/>
              <w:rPr>
                <w:sz w:val="20"/>
                <w:szCs w:val="20"/>
                <w:color w:val="auto"/>
              </w:rPr>
            </w:pPr>
            <w:r>
              <w:rPr>
                <w:rFonts w:ascii="Arial" w:cs="Arial" w:eastAsia="Arial" w:hAnsi="Arial"/>
                <w:sz w:val="18"/>
                <w:szCs w:val="18"/>
                <w:color w:val="auto"/>
                <w:w w:val="93"/>
              </w:rPr>
              <w:t>Gross profit: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4280" w:type="dxa"/>
            <w:vAlign w:val="bottom"/>
          </w:tcPr>
          <w:p>
            <w:pPr>
              <w:jc w:val="center"/>
              <w:ind w:right="3250"/>
              <w:spacing w:after="0"/>
              <w:rPr>
                <w:sz w:val="20"/>
                <w:szCs w:val="20"/>
                <w:color w:val="auto"/>
              </w:rPr>
            </w:pPr>
            <w:r>
              <w:rPr>
                <w:rFonts w:ascii="Arial" w:cs="Arial" w:eastAsia="Arial" w:hAnsi="Arial"/>
                <w:sz w:val="18"/>
                <w:szCs w:val="18"/>
                <w:color w:val="auto"/>
                <w:w w:val="91"/>
              </w:rPr>
              <w:t>Gaming</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7,369,660</w:t>
            </w:r>
          </w:p>
        </w:tc>
        <w:tc>
          <w:tcPr>
            <w:tcW w:w="1820" w:type="dxa"/>
            <w:vAlign w:val="bottom"/>
            <w:gridSpan w:val="2"/>
          </w:tcPr>
          <w:p>
            <w:pPr>
              <w:jc w:val="right"/>
              <w:ind w:right="130"/>
              <w:spacing w:after="0"/>
              <w:rPr>
                <w:sz w:val="20"/>
                <w:szCs w:val="20"/>
                <w:color w:val="auto"/>
              </w:rPr>
            </w:pPr>
            <w:r>
              <w:rPr>
                <w:rFonts w:ascii="Arial" w:cs="Arial" w:eastAsia="Arial" w:hAnsi="Arial"/>
                <w:sz w:val="18"/>
                <w:szCs w:val="18"/>
                <w:color w:val="auto"/>
              </w:rPr>
              <w:t>62.6%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9,618,630</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65.2%</w:t>
            </w:r>
          </w:p>
        </w:tc>
      </w:tr>
      <w:tr>
        <w:trPr>
          <w:trHeight w:val="250"/>
        </w:trPr>
        <w:tc>
          <w:tcPr>
            <w:tcW w:w="4280" w:type="dxa"/>
            <w:vAlign w:val="bottom"/>
            <w:shd w:val="clear" w:color="auto" w:fill="CCEEFF"/>
          </w:tcPr>
          <w:p>
            <w:pPr>
              <w:jc w:val="center"/>
              <w:ind w:right="3290"/>
              <w:spacing w:after="0"/>
              <w:rPr>
                <w:sz w:val="20"/>
                <w:szCs w:val="20"/>
                <w:color w:val="auto"/>
              </w:rPr>
            </w:pPr>
            <w:r>
              <w:rPr>
                <w:rFonts w:ascii="Arial" w:cs="Arial" w:eastAsia="Arial" w:hAnsi="Arial"/>
                <w:sz w:val="18"/>
                <w:szCs w:val="18"/>
                <w:color w:val="auto"/>
                <w:w w:val="88"/>
              </w:rPr>
              <w:t>Esports</w:t>
            </w:r>
          </w:p>
        </w:tc>
        <w:tc>
          <w:tcPr>
            <w:tcW w:w="3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52,500</w:t>
            </w:r>
          </w:p>
        </w:tc>
        <w:tc>
          <w:tcPr>
            <w:tcW w:w="1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70.0%</w:t>
            </w:r>
          </w:p>
        </w:tc>
        <w:tc>
          <w:tcPr>
            <w:tcW w:w="4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r>
      <w:tr>
        <w:trPr>
          <w:trHeight w:val="217"/>
        </w:trPr>
        <w:tc>
          <w:tcPr>
            <w:tcW w:w="4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segment and consolidated gross profit</w:t>
            </w: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7,422,160</w:t>
            </w: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w w:val="79"/>
              </w:rPr>
              <w:t>62.6</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9,618,630</w:t>
            </w:r>
          </w:p>
        </w:tc>
        <w:tc>
          <w:tcPr>
            <w:tcW w:w="3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 ended December 31, 2019, gross profit from our Gaming segment decreased by $2,248,970, or 23%, to $7,369,660 from $9,618,630, primarily due to lower revenues. For the years ended December 31, 2019 and 2018, the gross margin from our Gaming segment was 62.6% and 65.2%, respectively, a year-over-year decrease of 2.6 percentage points due to higher than expected sales allowances for NASCAR Heat 3 in 2019 and a slower sell through as compared to our original estimates of NASCAR Heat 3 that was placed into the retail channel during 2018.</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2019, our esports segment generated gross profit of $52,500 and gross margin of 70.0%. This reflected operating results from one esports event held in 2019 for the eNHPL.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and Marketing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2019, sales and marketing expenses increased by $226,970, or 6%, to $3,771,570 from $3,544,600 for the year ended December 31, 2018, primarily due to increased costs associated with our creation of an internal marketing resource team during the year ended December 31, 2019. Previously, we outsourced marketing related activities to third-party agencies, and we incurred additional expenditures for the year ended December 31, 2019 during a transition period where we utilized both third-party agencies, as well as our internal marketing resource team, for marketing related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auto"/>
        </w:rPr>
        <w:t>Development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2019, development expenses increased by $881,918, or 23%, to $4,784,034 from $3,902,116 for the year ended December 31, 2018. Development expenses increased in 2019 primarily as we began to work on multiple game titles simultaneously beginning in April 2019. Previously, we had only developed one game at a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general and administrative expenses decreased by $266,523, or 9%, to $2,605,782 from $2,872,305 for the year ended December 31, 2018. The decrease was primarily attributable to a reduction in staff during the year ended December 31, 2019 and transaction costs that were incurred during the year ended December 31, 2018, including costs associated with the acquisition of 704Games, which did not recur during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2019, depreciation and amortization increased by $400,383, or 87%, to $861,872 from $461,489 for the year ended December 31, 2018, primarily due to increased amortization expense for intangible assets recorded in August 2018 in connection with the 704Games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Impairment of Goodwill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2019, we recognized a loss on the impairment of our goodwill of $575,015, compared to no impairment in 2018. The acquisition of 704Games occurred in August of 2018, and the first revaluation of goodwill was completed in 2019, resulting in a write-down of $575,015, primarily due to decreased revenue projections formulated at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interest income (expense) increased by $61,978, or 236%, to income of $35,728 from expense of $(26,250) for the year ended December 31, 2018. The increase is primarily due to interest earned from higher interest-bearing cash balances during the year ended December 31, 2019. The interest expense during the year ended December 31, 2018 was associated with a note payable that was outstanding during a portion of such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Attributable to Equity Method Investment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2019, we recognized a loss attributable to equity method investment of $608,656 compared to $0 for the year ended December 31, 2018. The loss attributable to equity method investment resulted from our 45% ownership in Le Mans Esports Series Limited, a joint venture entered into in March 2019 with Automobile Club de l’Ouest.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2019, other (expense) income, net increased by $41,154, or 119%, to expense of $(6,523) from income of $34,631 for the year ended December 31, 2018. The increase is primarily due to the recognition of a loss on asset disposal during the year ended December 31, 2019 and the expiration of a sublease of our space during the year ended December 31,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auto"/>
        </w:rPr>
        <w:t>Income Tax Benefit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2018, we recognized an income tax benefit of $2,323 during the Predecessor Period, as 704Games is a corporation subject to income taxes. There was no income tax provision or benefit recognized during 2019, as Motorsport Games is a pass-through entity and 704Games has recorded a full valuation allowance against deferred tax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EBITDA and Adjusted EBITDA</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EBITDA, a measure used by management to assess our operating performance, is defined as net loss plus interest (income) expense and depreciation and amortization, less income tax benefit. Adjusted EBITDA is defined as EBITDA adjusted to exclude (i) certain acquisition related expenses, (ii) stock-based compensation expenses and (iii) charges or gains resulting from non-recurring events. We use Adjusted EBITDA to manage our business and evaluate our financial performance, as it has been adjusted for items that affect comparability between periods that we believe are not representative of our core business. Additionally, management believes that EBITDA and Adjusted EBITDA are useful to investors because they enhance investors’ understanding and assessment of our performance, facilitate comparisons to prior periods and our competitors’ results and assist in forecasting performance for future periods.</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of the above described measures is not a recognized term under U.S. GAAP and does not purport to be an alternative to revenue, loss from operations, net loss or any other measure derived in accordance with U.S. GAAP as a measure of operating performance or to cash flows from operations as a measure of liquidity. Additionally, each such measure is not intended to be a measure of free cash flows available for management’s discretionary use, as it does not consider certain cash requirements such as interest payments, tax payments and debt service requirements. Such measures have limitations as analytical tools, and you should not consider any of such measures in isolation or as substitutes for our results as reported under U.S. GAAP. Management compensates for the limitations of using non-GAAP financial measures by using them to supplement U.S. GAAP results to provide a more complete understanding of the factors and trends affecting the business than U.S. GAAP results alone. Because not all companies use identical calculations, our measures may not be comparable to other similarly titled measures of other companies. This section includes reconciliations of these non-GAAP measures to the most directly comparable financial measures calculated and presented in accordance with U.S. GAAP.</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from net loss to EBITDA and Adjusted EBITDA for the years ended December 31, 2019 and 2018:</w:t>
      </w:r>
    </w:p>
    <w:p>
      <w:pPr>
        <w:spacing w:after="0" w:line="244"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(5,755,564)</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(1,151,176)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Interest (income) expense</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(35,728)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26,250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861,872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461,489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(2,323)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EBITDA</w:t>
            </w:r>
          </w:p>
        </w:tc>
        <w:tc>
          <w:tcPr>
            <w:tcW w:w="2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(4,929,420)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(665,760)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Acquisition related expense</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127,000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546,546</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40" w:type="dxa"/>
            <w:vAlign w:val="bottom"/>
            <w:tcBorders>
              <w:top w:val="single" w:sz="8" w:color="CCEEFF"/>
            </w:tcBorders>
          </w:tcPr>
          <w:p>
            <w:pPr>
              <w:ind w:left="360"/>
              <w:spacing w:after="0"/>
              <w:rPr>
                <w:sz w:val="20"/>
                <w:szCs w:val="20"/>
                <w:color w:val="auto"/>
              </w:rPr>
            </w:pPr>
            <w:r>
              <w:rPr>
                <w:rFonts w:ascii="Arial" w:cs="Arial" w:eastAsia="Arial" w:hAnsi="Arial"/>
                <w:sz w:val="18"/>
                <w:szCs w:val="18"/>
                <w:b w:val="1"/>
                <w:bCs w:val="1"/>
                <w:color w:val="auto"/>
              </w:rPr>
              <w:t>Adjusted EBITDA</w:t>
            </w:r>
          </w:p>
        </w:tc>
        <w:tc>
          <w:tcPr>
            <w:tcW w:w="29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(4,929,420</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940" w:type="dxa"/>
            <w:vAlign w:val="bottom"/>
            <w:vMerge w:val="restart"/>
          </w:tcPr>
          <w:p>
            <w:pPr>
              <w:jc w:val="right"/>
              <w:ind w:right="1270"/>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our inception, we have historically financed our operations primarily through non-interest-bearing advances from Motorsport Network, which were subsequently incorporated into a line of credit provided by Motorsport Network pursuant to a promissory note, as described below. We measure our liquidity in a number of ways, including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37"/>
        </w:trPr>
        <w:tc>
          <w:tcPr>
            <w:tcW w:w="4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r>
      <w:tr>
        <w:trPr>
          <w:trHeight w:val="216"/>
        </w:trPr>
        <w:tc>
          <w:tcPr>
            <w:tcW w:w="4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1,960,279</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3,413,427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(Deficiency)</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(2,035,682)</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2,396,870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believe that our existing cash and cash equivalents will be sufficient to fund our operations for at least the next 12 months. In addition, we may choose to raise additional funds at any time through equity or debt financing arrangements, which may or may not be needed for additional working capital, capital expenditures or other strategic investments. However, there are currently no commitments in place for future financing and there can be no assurance that we will be able to obtain funds on commercially acceptable terms, if at all. If we are unable to obtain adequate funds on reasonable terms, we may be required to significantly curtail or discontinue operations or obtain funds by entering into financing agreements on unattractive terms.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operating needs include the planned costs to operate our business, including amounts required to fund working capital and capital expenditures. Our future capital requirements and the adequacy of our available funds will depend on many factors, including our ability to successfully develop new products or enhancements to our existing products, continued development and expansion of our esports platform and the need to enter into collaborations with other companies or acquire other companies or technologies to enhance or complement our product offerings.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experienced negative cash flow from operating activities for the years ended December 31, 2019 and 2018 in the amounts of $4,424,846 and $902,224, respectively. Net cash used in operating activities for the year ended December 31, 2019 was primarily due to cash used to fund a net loss of $5,755,564, adjusted for non-cash expenses in the amount of $2,100,626 and by $769,908 of cash used to fund changes in the levels of operating assets and liabilities. Net cash used in operating activities for the year ended December 31, 2018 was primarily due to cash used to fund a net loss of $1,151,176, adjusted for non-cash expenses in the aggregate amount of $693,146, and $444,194 of cash used to fund changes in the levels of operating assets and liabilities.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 ended December 31, 2019, net cash used in investing activities was $592,628, which was attributable to our investment in the Le Mans Esports Series Limited joint venture in March 2019 of $484,335 and $108,293 for the purchase of office and computer equipment. During the year ended December 31, 2018, net cash provided by investing activities was $1,209,096 and was primarily attributable to cash acquired in connection with the acquisition of 704Games, partially offset by the purchase of office and computer equipment.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during the years ended December 31, 2019 and 2018 was $3,564,326 and $3,692,383, respectively. During the year ended December 31, 2019, cash provided by financing activities was primarily attributable to advances provided by Motorsport Network. During the year ended December 31, 2018, $4,442,383 of cash provided by financing activities was primarily attributable to advances provided by Motorsport Network, partially offset by $750,000 of cash used to repay notes payable.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Promissory Note Line of Credit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1, 2020, we entered into a promissory note with Motorsport Network (the “Promissory Note”) for a line of credit of up to $10,000,000 at an interest rate of 10% per annum. The principal amount under the Promissory Note was primarily funded through one or more advances from Motorsport Network, including an advance in August 2020 for purposes of acquiring an additional ownership interest in 704Games. Previous non-interest-bearing advances from Motorsport Network also were included in the amount outstanding under the Promissory Note at the time it was executed. The Promissory Note does not have a stated maturity date and is payable upon demand at any time at the sole and absolute discretion of Motorsport Network, which has agreed, pursuant to a Side Letter Agreement related to the Promissory Note, dated September 4, 2020, not to demand or otherwise accelerate any amount due under the Promissory Note that would otherwise constrain the Company’s liquidity position, including the Company’s ability to continue as a going concern. We may prepay the Promissory Note in whole or in part at any time or from time to time without penalty or charge. In the event we or any of our subsidiaries consummate certain corporate events, including any capital reorganization, consolidation, joint venture, spin off, merger or any other business combination or restructuring of any nature, or if certain events of default occur, the entire principal amount and all accrued and unpaid interest will be accelerated and become payable. As of the date of this prospectus, approximately $10 million of principal was outstanding under the Promissory Note.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did not have, during the periods presented, and we do not currently have, any relationships with any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management’s discussion and analysis of our consolidated financial condition and results of operations are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as of the date of the consolidated financial statements, as well as the reported expenses during the reporting periods. The accounting estimates that require our most significant, difficult, and subjective judgments have an impact on revenue recognition, including reserves for sales returns and price protection, valuation allowance of deferred income taxes, valuation of acquired companies and equity investments, the recognition and disclosure of contingent liabilities, and goodwill and intangible assets impairment testing. We evaluate our estimates and judgments on an ongoing basis. Actual results may differ materially from these estimates under different assumptions or conditions.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significant accounting policies are more fully described in our consolidated financial statements (Note 2 in our consolidated financial statements for the years ended December 31, 2019 and 2018) included elsewhere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analysis of recently issued accounting standards are more fully described in our consolidated financial statements (Note 2 in our consolidated financial statements for the years ended December 31, 2019 and 2018) included elsewhere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audit of our consolidated financial statements for the year ended December 31, 2019, we and our independent registered public accounting firm identified certain material weaknesses in our internal control over financial reporting. The material weaknesses we identified relate to (i) the documentation of significant accounting positions, estimates and conclusions that were not contemporaneously formalized and reviewed independently of the preparer and (ii) the segregation of duties. We have taken steps toward remediating these material weaknesses, which to date have included: (1) the hiring of additional qualified finance and accounting personnel, including the hiring of a new Chief Financial Officer with SEC reporting experience; and (2) the implementation of formal policies, procedures and controls, training on standards of documentary evidence, as well as implementation of controls designed to ensure the reliability of critical spreadsheets and system generated reports. See “Risk Factors—Risks Related to Our Company—We have identified material weaknesses in our internal control over financial reporting. If we are unable to remediate these material weaknesses, or if we identify additional material weaknesses in the future, we may not be able to accurately or timely report our financial condition or results of operations, which may adversely affect our business and the trading price of our Class A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Motorsport Games is a leading racing game developer, publisher and esports ecosystem provider of official motorsport racing series throughout the world, including NASCAR, the iconic 24 Hours of Le Mans endurance race (“Le Mans”) and the associated World Endurance Championship (the “WEC”), the British Touring Car Championship (the “BTCC”) and others. Through the support of our sole member, Motorsport Network, the largest global media company in the motorsport industry, Motorsport Games’ corporate mission is to create the preeminent motorsport gaming and esports entertainment ecosystem by delivering the highest quality, most sophisticated and innovative experiences for racers, gamers and fans of all ages. Our products and services target a large and underserved global motorsport audience. For 2019, Liberty Media Corporation (“Liberty Media”) estimates that the total global Formula 1 television audience reached 471 million unique viewers. Further, Le Mans estimates its total reach was approximately 100 million homes worldwide in 2019, while NASCAR reached approximately 475 million households in 2019 and the BTCC reached approximately 62 million households in 2019.</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Started in 2018 as a wholly-owned subsidiary of the Motorsport Network, Motorsport Games is currently the official developer and publisher of the NASCAR video game franchise and has obtained, or is in the process of obtaining, the exclusive licenses to develop multi-platform games for Le Mans and the BTCC. We develop and publish multi-platform racing video games including for game consoles, personal computer (PC) and mobile platforms through various retail and digital channels, including full-game and downloadable content (sometimes known as “games-as-a-service”). Since our formation, our NASCAR video games have sold over one million copies for game consoles and PCs.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With a projected 2.6 billion total mobile gamers globally for 2020 according to data from NewZoo, an industry source for games market insight and analytics, we continue to focus on developing and further enhancing our multi-platform games for mobile phones. We believe an important component of scaling our gamers and esports viewers is to offer a suite of official mobile games for each of our various motorsport racing series. Currently, we offer NASCAR Heat Mobile for iOS and Android, which has had approximately five million installs to date, and are in the process of developing two other NASCAR mobile games with projected release dates in 2021. In addition, we have a roadmap for the development of more than a dozen anticipated mobile games, including multiple mobile products for each of our racing series.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striving to become a leader in organizing and facilitating esports tournaments, competitions, and events for our licensed racing games as well as on behalf of third-party racing game developers and publishers. Throughout the first half of 2020, we have facilitated 36 esports events, up from 22 esports events in all of 2019, which have included official esports events for NASCAR, 24 Hours of Le Mans, the Official World Rallycross Esports Championship, FIA Formula E and other race series. The total number of people that have watched our esports events in 2020 to date is approximately 43.3 million, up from a total of approximately 1.3 million viewers throughout 2019.</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connecting virtual racing gamers and esports fans on a digital entertainment and social platform represents the greatest opportunity to enhance the way that people learn, watch, play, and experience racing video games and racing esports. To that end, we are in the process of developing a go-to destination for the virtual racing community, which we internally call APEX. We are designing APEX with the functionality to enable users to run their own esports competitions in a simple, turn-key format, allowing groups to assemble around racing games, leagues, individual ability, and various other metrics. We currently anticipate launching APEX in beta in the first quarter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Company Background</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Motorsport Games was formed in 2018 by Motorsport Network as a wholly-owned subsidiary in connection with the acquisition by Motorsport Games of a controlling interest in 704Games, which holds the exclusive license to be the official video game developer and publisher for NASCAR. Simultaneously with the acquisition of 704Games in 2018, we extended the license to be the exclusive video game developer and publisher for NASCAR for 10 years until December 31, 2029, subject to certain limited exceptions. In addition, we have the right to create and organize esports leagues and events for NASCAR. Prior to this offering, Motorsport Games remained a wholly-owned subsidiary of Motorsport Network and, following the completion of this offering, Motorsport Network will continue to be our majority stockholder.</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2018, following the acquisition of 704Games, we acquired the leadership team of Virtually Entertained Limited, a UK-based esports specialist. Subsequently, we entered into an agreement to facilitate the Le Mans Esports Series as part of a joint venture with Automobile Club l’Ouest (“ACO”), the organizer of the 24 Hours of Le Mans endurance race. Through our ownership interest in this joint venture, we are in the process of obtaining the rights to be the exclusive video game developer and publisher for the Le Mans race and the WEC, which the Le Mans race is a part of. In addition, through this joint venture with ACO, we expect to be granted the right to create and organize esports leagues and events for the Le Mans Esports Series, which would continue so long as we have an ownership interest in this joint venture.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2019, Motorsport Network entered into an exclusive partnership with The Codemasters Software Company Limited (“Codemasters”) granting Motorsport Network worldwide rights (excluding China) to organize and manage official DiRT Rally 2.0 World Championship and official GRiD eSport World Championship esports events. Through our relationship with Motorsport Network, we have organized and managed these esports events on behalf of Motorsport Network, including the DiRT World Championship held at Autosport International in January 2020, which attracted a large live crowd on site and audience of more than 75,000 online. In March 2020, we also announced a partnership with Codemasters and International Management Group to create the Official World Rallycross Esports Championship.</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we secured a multi-year licensing agreement to exclusively develop and publish the video games for the BTCC racing series across console, mobile and casual gaming channels. In addition, through this license, we have the right to create and organize esports leagues and events for the BTCC racing series. The agreement expires on December 31, 2026.</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Motorsport Games has offices in Miami and Orlando, Florida and Moscow, Russia.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the broad popularity of racing sports and video games, along with favorable consumer dynamics and strong long-term trends (i.e., ubiquity of mobile devices, widespread acceptance and use of social media and mobile platforms, cloud gaming and video game streaming), together with the lack of a dominant global racing community organizer, present a significant opportunity for us to connect and monetize a large fanbase for motorsports by converting some of this audience into racing gamers and esports participants and spectators.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Global Motorsports Marketplace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that motorsports will increase in popularity across generations of gamers and viewers because of their anticipated enthusiasm for racing games and esports. According to a report published by IndustryARC, the entire motorsports market is expected to reach $30 billion by 2025, which we believe is primarily the result of strong campaigning, broadcasting, social networking, related events, sponsorships and the introduction of advanced technologies by automotive companies. The 2017 acquisition of Formula 1 by Liberty Media and its intent to invest heavily in the promotion of the sport and to create several “Super Bowl-like” events in the United States is anticipated to also lead to an increase in motorsport popularity and attract a burgeoning audience, which we believe will allow us to convert an increasing number of racing fans into gamers and motorsport esports fans. For 2019, Liberty Media estimates that the total global Formula 1 television audience reached 471 million unique viewers. Further, Le Mans estimates its total reach was approximately 100 million homes worldwide in 2019, while NASCAR reached approximately 475 million households in 2019 and the BTCC reached approximately 62 million households in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b w:val="1"/>
          <w:bCs w:val="1"/>
          <w:i w:val="1"/>
          <w:iCs w:val="1"/>
          <w:color w:val="auto"/>
        </w:rPr>
        <w:t>Video Games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Video games have increasingly become one of the leading forms of entertainment on a global scale. The video game industry continues to benefit from powerful demographic shifts as new players enter the market, due in large part to gaming entertainment becoming ubiquitous across all age groups and geographies. In 2020, the Entertainment Software Association reported that within the United States:</w:t>
      </w:r>
    </w:p>
    <w:p>
      <w:pPr>
        <w:spacing w:after="0" w:line="184"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there are 214 million video game players, with three quarters of all households having at least one person who plays video games;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64% of all adults and 70% of those under 18 regularly play video games;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average age of video game players is 35 to 44;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adult video game players spend 6.6 hours per week playing with other gamers online and 4.3 hours per week playing with others in person.</w:t>
      </w:r>
    </w:p>
    <w:p>
      <w:pPr>
        <w:spacing w:after="0" w:line="2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according to NewZoo, there are currently 2.7 billion persons that play video games worldwide who are projected to spend $159.3 billion on video games in 2020, with this number forecasted to surpass $200 billion by 2023. Industry growth is expected to be further strengthened by the release of next generation consoles, with the PlayStation 5 and Xbox Series X scheduled for release in late 2020.</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also believe that video games in the racing genre will increase in popularity globally across generations of gamers and viewers because the format benefits from being family-friendly and can appeal to multiple generations. According to the Entertainment Software Association, of the 65% of gamers in the United States who play with others, 31% of them are playing with parents or other family members. Moreover, 26% of males between the ages of 55 and 64 and 50% of females between the ages of 18 and 34 who play video games classified racing games as their favorite genre of games. Additionally, 92% of parents pay attention to the games their children play, and 87% are aware of Entertainment Software Rating Board (ESRB) ratings. Our entire product lineup is currently rated E (Everyone), and we expect our future portfolio of games will also be rated E, thereby increasing the marketability of our products for parents who are conscientious of ratings, when compared to other genres, such as first-person shooter games. We believe these dynamics will help support the continued growth of games in the racing genre, which represented 5.8% of all 2018 video game sales in the United States as reported by Statista.</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Mobile Games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Consumers are increasingly using their mobile devices for entertainment, including for playing mobile games. Digital game design in the casual game market has evolved as new game types and business models address expanding gaming audiences. In addition, the widespread adoption of smartphones and the availability of mobile app stores has increased the total accessible audience for gaming experiences, as it allows for gaming to occur more widely outside the home. According to Barclays, mobile gaming is estimated to represent 47% of current industry revenues and is expected to reach 60% by 2025. Further, with a projected 2.6 billion total mobile gamers for 2020 according to data from NewZoo, mobile games are forecasted to generate revenues of $77.2 billion in 2020.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Esports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popularity of esports continues to grow rapidly, with an engaged and passionate fan base across the globe. According to recent data from NewZoo, the global esports audience is expected to reach 495 million in 2020, up from 395 million in 2018, which would surpass the global audience for many traditional sports. NewZoo also estimates that esports will generate approximately $1.1 billion in global revenues in 2020, a 15.7% increase versus the prior year, which revenue will include approximately 58% from sponsorships, 17% from media rights, 11% from publisher fees and 11% from merchandise and ticketing revenue.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proliferation of new streaming technologies in content distribution has also fueled growth in the popularity and engagement of esports, including the rise of live streaming and over-the-top channels and social networking and interaction within games. For example, according to Streamlabs, consumers viewed over 5 billion hours of content on Twitch and over 1.5 billion hours of content on YouTube Gaming Live during the second quarter of 2020, representing quarter-over-quarter growth of 62.7% and 39.6%,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jc w:val="both"/>
        <w:ind w:firstLine="648"/>
        <w:spacing w:after="0" w:line="263" w:lineRule="auto"/>
        <w:rPr>
          <w:sz w:val="20"/>
          <w:szCs w:val="20"/>
          <w:color w:val="auto"/>
        </w:rPr>
      </w:pPr>
      <w:r>
        <w:rPr>
          <w:rFonts w:ascii="Arial" w:cs="Arial" w:eastAsia="Arial" w:hAnsi="Arial"/>
          <w:sz w:val="18"/>
          <w:szCs w:val="18"/>
          <w:color w:val="auto"/>
        </w:rPr>
        <w:t>Additionally, the popularity of esports is evidenced by the growth of professional esports associations and leagues. According to Greenman Gaming, tournament prize money in esports is increasing at an average of 42% per year, and the number of pro athletes in esports has been growing at a rate of 43% per year since 1998.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Since our founding as a wholly-owned subsidiary of Motorsport Network in 2018, we have been developing our capabilities to be the preeminent motorsport gaming and esports entertainment ecosystem. We believe the following key strengths provide us with a significant competitive advantage to achieve this mission.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Exclusive licensing and partnership rights that provide unique and defensible access to iconic racing series. </w:t>
      </w:r>
      <w:r>
        <w:rPr>
          <w:rFonts w:ascii="Arial" w:cs="Arial" w:eastAsia="Arial" w:hAnsi="Arial"/>
          <w:sz w:val="17"/>
          <w:szCs w:val="17"/>
          <w:color w:val="auto"/>
        </w:rPr>
        <w:t>Our video game licensing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esports portfolio generally provides us exclusive and defensible rights to some of the most prestigious and popular global racing brands, providing for a large and growing core audience of fans to purchase and participate in our growing product and services portfolio. Specifically:</w:t>
      </w:r>
    </w:p>
    <w:p>
      <w:pPr>
        <w:spacing w:after="0" w:line="165" w:lineRule="exact"/>
        <w:rPr>
          <w:sz w:val="20"/>
          <w:szCs w:val="20"/>
          <w:color w:val="auto"/>
        </w:rPr>
      </w:pPr>
    </w:p>
    <w:p>
      <w:pPr>
        <w:jc w:val="both"/>
        <w:ind w:left="980" w:hanging="324"/>
        <w:spacing w:after="0" w:line="25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our acquisition of 704Games in 2018, we obtained the license to be the exclusive video game developer and publisher for NASCAR, subject to certain limited exceptions. In addition, we have the right to create and organize esports leagues and events for NASCAR. Our current license arrangement with NASCAR, which was extended 10 years simultaneously with the acquisition of 704Games, expires on December 31, 2029.</w:t>
      </w:r>
    </w:p>
    <w:p>
      <w:pPr>
        <w:spacing w:after="0" w:line="186"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March 2019, we established a joint venture with ACO, the organizer of the iconic 24 Hours of Le Mans endurance race. Through this joint venture, we are in the process of obtaining the rights to be the exclusive video game developer and publisher for the Le Mans race and the WEC. Once granted, we anticipate this license would expire ten years beginning from the date of our first release of a Le Mans video gaming product. In addition, through this joint venture with ACO, we expect to be granted the right to create and organize esports leagues and events for the Le Mans Esports Series, which would continue so long as we have an ownership interest in this joint venture.</w:t>
      </w:r>
    </w:p>
    <w:p>
      <w:pPr>
        <w:spacing w:after="0" w:line="17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May 2020, we secured a multi-year licensing agreement to exclusively develop and publish the video games for the BTCC racing series across console, mobile and casual gaming channels. In addition, through this license, we have the right to create and organize esports leagues and events for the BTCC racing series. Our current license with the BTCC expires on December 31, 2026.</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Portfolio of quality racing games developed by an experienced in-house development team specializing in racing games. </w:t>
      </w:r>
      <w:r>
        <w:rPr>
          <w:rFonts w:ascii="Arial" w:cs="Arial" w:eastAsia="Arial" w:hAnsi="Arial"/>
          <w:sz w:val="16"/>
          <w:szCs w:val="16"/>
          <w:color w:val="auto"/>
        </w:rPr>
        <w:t>Since our founding,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invested in our in-house development team and have developed a portfolio of quality racing games for various platforms (PC, console, handheld and mobile). Our experienced development team consisting of over 50 employees specializes in racing games and has a deep understanding of games in this genre. This includes the crucial development of car physics, tracks, tire models, general racing rules and other components that are found across racing games. This specialization serves as a scalable foundation for the development of future racing games in our portfolio, which we believe also allows us to utilize the best available methods and technologies to help achieve higher quality products through an efficient development process. In turn, this allows us to more effectively control game development and in-game updates along with reducing the time and costs of developing and launching new games. Our development team serves as the strong cornerstone for the development of our future virtual racing franchises, particularly as we progress towards launching our next generation of NASCAR games on our proprietary racing-focused MSG Engine.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Strategic alliance and support from Motorsport Network, including access to a vast target audience. </w:t>
      </w:r>
      <w:r>
        <w:rPr>
          <w:rFonts w:ascii="Arial" w:cs="Arial" w:eastAsia="Arial" w:hAnsi="Arial"/>
          <w:sz w:val="17"/>
          <w:szCs w:val="17"/>
          <w:color w:val="auto"/>
        </w:rPr>
        <w:t>Motorsport Network is a leading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motorsport and automotive data-driven digital platform that owns and operates a collection of valuable digital media motorsport and automotive brands. As of July 2020, Motorsport Network had over 55 million unique visitors generating over 326 million monthly page views on its flagship platforms, including motorsport.com, autosport.com and motor1.com, and access to approximately 126 million viewing profiles that Motorsport Network has captured over the prior six months. Approximately 200 leading journalists and trusted experts in the world are creating daily content that seeks to capture and retain user attention through comprehensive distribution channels for Motorsport Network. Pursuant to an agreement with Motorsport Network, we have digital access rights to this audience to enable us to market, communicate, and engage with them regarding our games and esports series. We believe this access to a large, highly engaged and affluent target audience with an active lifestyle and passion for motorsports and automobiles creates strong engagement and distribution channel opportunities for our products and services. In addition, our strategic alliance and relationship with Motorsport Network uniquely provides us the ability to leverage the broad industry relationships and market clout of Motorsport Network, particularly due to its vast audience and reach. It is this relationship with Motorsport Network that we believe helped us to secure our current joint ventures, game development and/or esports related rights for various racing series, including for NASCAR, Le Mans and the BTCC.</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Experienced game and technology-focused management team. </w:t>
      </w:r>
      <w:r>
        <w:rPr>
          <w:rFonts w:ascii="Arial" w:cs="Arial" w:eastAsia="Arial" w:hAnsi="Arial"/>
          <w:sz w:val="16"/>
          <w:szCs w:val="16"/>
          <w:color w:val="auto"/>
        </w:rPr>
        <w:t>Our senior management team has developed extensive experience across a broad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range of disciplines in the gaming, esports and racing industries, including through prior roles at Codemasters, Electronic Arts, Sega, NaturalMotion, Sony and Motorsport Network. With an average of approximately 18 years of experience in these industries, including at public companies, our senior management team has strong creative and operational experience and a successful track record. For example, certain members of our management core team participated in the development and publishing of the official Formula 1 game franchise, as well as many other successful game titles, such as DiRT Rally and Forza Horizon. Further, prior to joining us, the majority of our senior management team have successfully worked together in the past, including our Chief Executive Officer and Chief Financial Officer, who have previously teamed together while serving as President and Chief Financial Officer, respectively, at a prior public company. This extensive experience extends beyond our senior management team and deep into our organization. We pair traditional games veterans with non-traditional expertise to push how games are customarily developed, published and operated.</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The existing users of our console and mobile games, when combined with our officially licensed esports initiatives, joint ventures and the anticipated launch of APEX, cultivate a reinforcing flywheel of content that will enhance our offerings and grow our audience for future products and services. </w:t>
      </w:r>
      <w:r>
        <w:rPr>
          <w:rFonts w:ascii="Arial" w:cs="Arial" w:eastAsia="Arial" w:hAnsi="Arial"/>
          <w:sz w:val="16"/>
          <w:szCs w:val="16"/>
          <w:color w:val="auto"/>
        </w:rPr>
        <w:t>Given our track record and management team, we believe we are well positioned to continually create innovative and reinforcing gaming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generate user excitement and naturally foster a competitive camaraderie amongst gamers. By harvesting the reinforcing nature of our product portfolio and the competition our products drive in our users, we believe we will be able to propel user engagement on APEX, our platform for the virtual racing community that we expect to launch in beta in the first quarter of 2021, and will increasingly be able to produce successful esports events centered around our popular licensed racing series. As a sign of the momentum we are generating, we had over 43 million viewers of our esports events in 2020 to date, which enabled us to prominently display and reinforce our branding with the racing community. This includes the largest event in virtual racing history, the Le Mans 24 Virtual held in June 2020, which we produced. We also have entered into a joint venture with an affiliate of the Race Team Alliance (“RTA”), an organization consisting of 13 NASCAR Cup Series teams, to develop the eNASCAR Heat Pro League (the “eNHPL”). The RTA teams include the eNHPL and NASCARHeat.com logos on the contingency space on each of their NASCAR Cup Series vehicles for a number of NASCAR events, leading to increased awareness about the eNHPL through this unique promotional channel. We believe these milestones and achievements, combined with the current users of our console and mobile games and our access to the vast audience of Motorsport Network, uniquely positions us to be the preeminent motorsport gaming and esports entertainment ecosystem.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mission is to create the preeminent motorsport gaming and esports entertainment ecosystem by delivering the highest quality, most sophisticated and innovative experiences for racers, gamers and fans of all ages. We believe we have put in place a solid foundation to achieve this mission since our founding in 2018, including each of our strengths listed above. To continue to build on this foundation and our growing momentum, we plan to focus on the following four key strategies:</w:t>
      </w:r>
    </w:p>
    <w:p>
      <w:pPr>
        <w:spacing w:after="0" w:line="187"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enhance the depth and breadth of our industry-leading motorsport gaming product portfolio</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2018, we, through our subsidiary 704Games, extended our license as the official video game developer and publisher for NASCAR through the end of 2029. To maximize the potential of the NASCAR gaming franchise, we have made significant investments in both technology and human talent to create a best-in-class racing game experience. In 2021, we plan to introduce a new generation NASCAR console game, offering fans of the sport and racing a “AAA” comparable game that will provide the most authentic and engaging experience possible. This new game has been internally built from the ground up on our new proprietary racing-focused MSG Engine and will utilize Unreal Engine’s game engine, paired with the latest car physics and other components. The Unreal Engine is widely recognized within the industry and has been utilized in many notable games, such as </w:t>
      </w:r>
      <w:r>
        <w:rPr>
          <w:rFonts w:ascii="Arial" w:cs="Arial" w:eastAsia="Arial" w:hAnsi="Arial"/>
          <w:sz w:val="17"/>
          <w:szCs w:val="17"/>
          <w:i w:val="1"/>
          <w:iCs w:val="1"/>
          <w:color w:val="auto"/>
        </w:rPr>
        <w:t>Borderlands 3, Fortnite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Battle Royale, Gears 5, MotoGP 18, PlayerUnknown’s Battlegrounds </w:t>
      </w:r>
      <w:r>
        <w:rPr>
          <w:rFonts w:ascii="Arial" w:cs="Arial" w:eastAsia="Arial" w:hAnsi="Arial"/>
          <w:sz w:val="17"/>
          <w:szCs w:val="17"/>
          <w:color w:val="auto"/>
        </w:rPr>
        <w:t>and many others.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conjunction with the launch of our new NASCAR console game, we plan to launch a new, redesigned NASCAR Heat Mobile in 2021, which is our NASCAR mobile racing game that will also be developed internally. Given the recent popularity and fast growing nature of the branded casual game experience, we also plan to introduce a slate of NASCAR branded casual gaming options, starting with the officially licensed NASCAR “match three” game in 2021. In addition, we have a roadmap for the development of more than a dozen anticipated mobile games, including multiple mobile products for each of our racing series.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Combined with exclusive licenses and unique partnerships with iconic motorsport brands, we aspire to control the majority of the motorsport virtual racing segment to develop, publish, market, and distribute our games and organize unique esports events to help promote such games. We have been in discussions with numerous internationally recognized racing series license holders to develop video games and esports based upon their intellectual property, including using the same technology that will power the new generation of our NASCAR console game, as well as our anticipated upcoming games for the Le Mans and BTCC racing series. For any new additional motorsport series with which we partner, we believe our new proprietary racing-focused game engine will allow us to quickly and cost effectively produce new, modern games (building on our existing game technology and know-how with such new series) and market it through existing distribution channels.</w:t>
      </w:r>
    </w:p>
    <w:p>
      <w:pPr>
        <w:spacing w:after="0" w:line="177"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Invest and harness the power of technology to focus on digital delivery and mobile platforms with interactive social engagement</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Driven by fast and convenient digital delivery, the widespread use of mobile devices and mobile games, and the ease of streaming and cloud computing, players increasingly purchase our games digitally or spend time playing our games on mobile devices. Downloadable-extra content and microtransactions have higher profit margins than traditional retail one-time sales of games and offer meaningful ways of generating revenues in free-to-play games and create monetization capabilities of existing games beyond the initial game purchase. Increasing opportunities for players to interact and socialize among peers around esports make games a major social outlet for players, which helps to develop a relationship between our game content and consumers, and provides higher margins and greater revenue visibility relative to prior years when revenues were dependent on the original game purchase.</w:t>
      </w:r>
    </w:p>
    <w:p>
      <w:pPr>
        <w:spacing w:after="0" w:line="164" w:lineRule="exact"/>
        <w:rPr>
          <w:sz w:val="20"/>
          <w:szCs w:val="20"/>
          <w:color w:val="auto"/>
        </w:rPr>
      </w:pPr>
    </w:p>
    <w:p>
      <w:pPr>
        <w:ind w:left="980" w:right="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develop a full competitive esports ecosystem alongside franchise properties and a new gaming community on our APEX platform</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Underpinning our growth strategy is the integration between our licensed video game properties and our fully built-out esports platform and capabilities. As we continue to add to our existing portfolio of games centered around popular licensed racing series, this will provide us the opportunity to further grow our esports business by having more titles to produce our esports events. Further, by cultivating a vibrant and growing viewer and gamer community on APEX, we aim to build an easily accessible audience, which we believe will further drive interest for our future games and esports events. Ultimately, we believe this will allow us to not only reach and appeal to a larger audience, but to turn gamers into esports participants and vice versa by providing functionality to encourage and incentivize players of all abilities and skill levels to take part and compete online, which increases their level of engagement with our licensed gaming products and services. As our portfolio of official race franchise games grows, we also plan to launch a direct-to-customer subscription model that will allow privileged access to this portfolio of products as well as other loyalty perks. We have also grown, and expect to continue to grow, our esports business by using our esports platform to host and organize other motorsport tournaments and events on behalf of third-party video game license 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jc w:val="both"/>
        <w:ind w:firstLine="648"/>
        <w:spacing w:after="0" w:line="275" w:lineRule="auto"/>
        <w:rPr>
          <w:sz w:val="20"/>
          <w:szCs w:val="20"/>
          <w:color w:val="auto"/>
        </w:rPr>
      </w:pPr>
      <w:r>
        <w:rPr>
          <w:rFonts w:ascii="Arial" w:cs="Arial" w:eastAsia="Arial" w:hAnsi="Arial"/>
          <w:sz w:val="17"/>
          <w:szCs w:val="17"/>
          <w:color w:val="auto"/>
        </w:rPr>
        <w:t>With this goal of cultivating a gaming community in mind, we are in the process of developing and building APEX, our esports “as a service” platform for our virtual racing community. We are designing APEX with the functionality to enable users to customize and run their own esports competitions in a simple, turn-key format, allowing groups to form around specific games, consoles, individual ability, and various other metrics. We plan to drive further user engagement and enhance the participant experience by providing players and fans with facts and statistics from particular racing games to give definitive performance and ability benchmarks. We currently anticipate launching APEX in beta in the first quarter of 2021.</w:t>
      </w:r>
    </w:p>
    <w:p>
      <w:pPr>
        <w:spacing w:after="0" w:line="176"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Further leverage our strategic alliance and support with Motorsport Network</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Utilizing the unique global reach, broad industry relationships and market clout of Motorsport Network, we plan to further leverage this strategic alliance with Motorsport Network with the goal of adding more game development and esports related rights for racing series in addition to the iconic NASCAR, Le Mans and BTCC titles to which we have already obtained, or are in the process of obtaining, licensing rights. As of July 2020, Motorsport Network had over 55 million unique visitors generating over 326 million monthly page views on its flagship platforms, including motorsport.com, autosport.com and motor1.com. Motorsport.com and Autosport.com are the largest online global motorsport content producers, offering around-the-clock news and analysis services in 22 editions and 17 languages. Additionally, we believe that being backed by the largest global media company in the motorsport industry that targets the same audience with different but related content provides us with a unique advantage in our industry, which will allow us to engage racing fans globally, attract new active participants, and deliver differentiated and proprietary content and experiences.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Game Products Portfolio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develop and publish multi-platform racing video games including for game consoles, PCs and mobile platforms through various retail and digital channels, including full-game and downloadable content. Our current video game product portfolio includes primarily officially licensed NASCAR games. We have obtained, or are in the process of obtaining, the exclusive licenses to develop multi-platform games for Le Mans and the BTCC, with the goal of scaling not just the quantity of games per franchise, but also the number of official franchises. Since acquiring a controlling interest in 704Games in 2018, we have published NASCAR Heat 4 and developed completely in-house NASCAR Heat 5 for Xbox One, PlayStation 4 and PC, selling over one million copies of these games in total. We are also expanding our supported platforms to include the Nintendo Switch and expect to launch NASCAR Heat 5 on the Nintendo Switch platform in time for the 2020 holiday season. NASCAR Heat Mobile is our current game for iOS and Android with approximately five million total installs to date.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maximize the potential of the NASCAR and future gaming franchises, including with Le Mans and the BTCC, we are making significant investments in both technology and human talent to create one of the best racing game experiences. Starting in 2021, we plan to introduce a new generation of our NASCAR console game, which will offer fans of the franchise and racing a “AAA” comparable game that will provide one of the most authentic and engaging experiences possible. This new NASCAR offering has been internally built from the ground up on our new proprietary racing-focused MSG Engine and will utilize Unreal Engine’s game engine, paired with the latest car physics and other components. We believe that the MSG Engine, coupled with our exclusive licensing and partnership rights with our existing racing series, will provide us an advantage over competing titles in the virtual racing space and allow us to efficiently scale to other official racing game franchises in the near future.</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conjunction with the launch of our new NASCAR console game, we plan to launch a new, redesigned NASCAR Heat Mobile in 2021, which is our NASCAR mobile racing game that will also be developed internally. Given the recent popularity and fast growing nature of the branded casual game experience, we also plan to introduce a slate of NASCAR branded casual gaming options, starting with the officially licensed NASCAR “match three” game in 2021. In addition, we have a roadmap for the development of more than a dozen anticipated mobile games, including multiple mobile products for each of our racing series.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Our current video game catalog includes the following titles: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Game</w:t>
            </w:r>
          </w:p>
        </w:tc>
        <w:tc>
          <w:tcPr>
            <w:tcW w:w="1340" w:type="dxa"/>
            <w:vAlign w:val="bottom"/>
          </w:tcPr>
          <w:p>
            <w:pPr>
              <w:ind w:left="440"/>
              <w:spacing w:after="0"/>
              <w:rPr>
                <w:sz w:val="20"/>
                <w:szCs w:val="20"/>
                <w:color w:val="auto"/>
              </w:rPr>
            </w:pPr>
            <w:r>
              <w:rPr>
                <w:rFonts w:ascii="Arial" w:cs="Arial" w:eastAsia="Arial" w:hAnsi="Arial"/>
                <w:sz w:val="18"/>
                <w:szCs w:val="18"/>
                <w:color w:val="auto"/>
              </w:rPr>
              <w:t>Image</w:t>
            </w:r>
          </w:p>
        </w:tc>
        <w:tc>
          <w:tcPr>
            <w:tcW w:w="220" w:type="dxa"/>
            <w:vAlign w:val="bottom"/>
          </w:tcPr>
          <w:p>
            <w:pPr>
              <w:spacing w:after="0"/>
              <w:rPr>
                <w:sz w:val="20"/>
                <w:szCs w:val="20"/>
                <w:color w:val="auto"/>
              </w:rPr>
            </w:pPr>
          </w:p>
        </w:tc>
        <w:tc>
          <w:tcPr>
            <w:tcW w:w="5220" w:type="dxa"/>
            <w:vAlign w:val="bottom"/>
            <w:gridSpan w:val="2"/>
          </w:tcPr>
          <w:p>
            <w:pPr>
              <w:ind w:left="2140"/>
              <w:spacing w:after="0"/>
              <w:rPr>
                <w:sz w:val="20"/>
                <w:szCs w:val="20"/>
                <w:color w:val="auto"/>
              </w:rPr>
            </w:pPr>
            <w:r>
              <w:rPr>
                <w:rFonts w:ascii="Arial" w:cs="Arial" w:eastAsia="Arial" w:hAnsi="Arial"/>
                <w:sz w:val="18"/>
                <w:szCs w:val="18"/>
                <w:color w:val="auto"/>
              </w:rPr>
              <w:t>Overview</w:t>
            </w: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Platforms</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Release Date</w:t>
            </w:r>
          </w:p>
        </w:tc>
        <w:tc>
          <w:tcPr>
            <w:tcW w:w="0" w:type="dxa"/>
            <w:vAlign w:val="bottom"/>
          </w:tcPr>
          <w:p>
            <w:pPr>
              <w:spacing w:after="0"/>
              <w:rPr>
                <w:sz w:val="1"/>
                <w:szCs w:val="1"/>
                <w:color w:val="auto"/>
              </w:rPr>
            </w:pPr>
          </w:p>
        </w:tc>
      </w:tr>
      <w:tr>
        <w:trPr>
          <w:trHeight w:val="202"/>
        </w:trPr>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NASCAR Heat 3 is a racing video game simulating the 2018</w:t>
            </w:r>
          </w:p>
        </w:tc>
        <w:tc>
          <w:tcPr>
            <w:tcW w:w="220" w:type="dxa"/>
            <w:vAlign w:val="bottom"/>
          </w:tcPr>
          <w:p>
            <w:pPr>
              <w:spacing w:after="0"/>
              <w:rPr>
                <w:sz w:val="17"/>
                <w:szCs w:val="17"/>
                <w:color w:val="auto"/>
              </w:rPr>
            </w:pPr>
          </w:p>
        </w:tc>
        <w:tc>
          <w:tcPr>
            <w:tcW w:w="1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Xbox One,</w:t>
            </w:r>
          </w:p>
        </w:tc>
        <w:tc>
          <w:tcPr>
            <w:tcW w:w="220" w:type="dxa"/>
            <w:vAlign w:val="bottom"/>
          </w:tcPr>
          <w:p>
            <w:pPr>
              <w:spacing w:after="0"/>
              <w:rPr>
                <w:sz w:val="17"/>
                <w:szCs w:val="17"/>
                <w:color w:val="auto"/>
              </w:rPr>
            </w:pPr>
          </w:p>
        </w:tc>
        <w:tc>
          <w:tcPr>
            <w:tcW w:w="13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September 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w w:val="97"/>
              </w:rPr>
              <w:t>NASCAR Cup Series and feeder competitions. It was developed by</w:t>
            </w: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PlayStation 4, and</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13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8"/>
              </w:rPr>
              <w:t>NASCAR</w:t>
            </w:r>
          </w:p>
        </w:tc>
        <w:tc>
          <w:tcPr>
            <w:tcW w:w="1340" w:type="dxa"/>
            <w:vAlign w:val="bottom"/>
          </w:tcPr>
          <w:p>
            <w:pPr>
              <w:spacing w:after="0"/>
              <w:rPr>
                <w:sz w:val="18"/>
                <w:szCs w:val="18"/>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Monster Games, Inc. and published by 704Games.</w:t>
            </w: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Microsoft Windows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0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via Steam</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Heat 3</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-385445</wp:posOffset>
            </wp:positionV>
            <wp:extent cx="685800" cy="762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6100" w:type="dxa"/>
            <w:vAlign w:val="bottom"/>
          </w:tcPr>
          <w:p>
            <w:pPr>
              <w:ind w:left="940"/>
              <w:spacing w:after="0"/>
              <w:rPr>
                <w:sz w:val="20"/>
                <w:szCs w:val="20"/>
                <w:color w:val="auto"/>
              </w:rPr>
            </w:pPr>
            <w:r>
              <w:rPr>
                <w:rFonts w:ascii="Arial" w:cs="Arial" w:eastAsia="Arial" w:hAnsi="Arial"/>
                <w:sz w:val="18"/>
                <w:szCs w:val="18"/>
                <w:color w:val="auto"/>
              </w:rPr>
              <w:t>NASCAR Heat Mobile is the only officially licensed, authentic</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iOS and Android</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5"/>
              </w:rPr>
              <w:t>April 25, 2017</w:t>
            </w:r>
          </w:p>
        </w:tc>
        <w:tc>
          <w:tcPr>
            <w:tcW w:w="0" w:type="dxa"/>
            <w:vAlign w:val="bottom"/>
          </w:tcPr>
          <w:p>
            <w:pPr>
              <w:spacing w:after="0"/>
              <w:rPr>
                <w:sz w:val="1"/>
                <w:szCs w:val="1"/>
                <w:color w:val="auto"/>
              </w:rPr>
            </w:pPr>
          </w:p>
        </w:tc>
      </w:tr>
      <w:tr>
        <w:trPr>
          <w:trHeight w:val="216"/>
        </w:trPr>
        <w:tc>
          <w:tcPr>
            <w:tcW w:w="1820" w:type="dxa"/>
            <w:vAlign w:val="bottom"/>
            <w:vMerge w:val="restart"/>
          </w:tcPr>
          <w:p>
            <w:pPr>
              <w:jc w:val="center"/>
              <w:ind w:right="830"/>
              <w:spacing w:after="0"/>
              <w:rPr>
                <w:sz w:val="20"/>
                <w:szCs w:val="20"/>
                <w:color w:val="auto"/>
              </w:rPr>
            </w:pPr>
            <w:r>
              <w:rPr>
                <w:rFonts w:ascii="Arial" w:cs="Arial" w:eastAsia="Arial" w:hAnsi="Arial"/>
                <w:sz w:val="18"/>
                <w:szCs w:val="18"/>
                <w:color w:val="auto"/>
                <w:w w:val="98"/>
              </w:rPr>
              <w:t>NASCAR</w:t>
            </w:r>
          </w:p>
        </w:tc>
        <w:tc>
          <w:tcPr>
            <w:tcW w:w="6100" w:type="dxa"/>
            <w:vAlign w:val="bottom"/>
          </w:tcPr>
          <w:p>
            <w:pPr>
              <w:ind w:left="940"/>
              <w:spacing w:after="0"/>
              <w:rPr>
                <w:sz w:val="20"/>
                <w:szCs w:val="20"/>
                <w:color w:val="auto"/>
              </w:rPr>
            </w:pPr>
            <w:r>
              <w:rPr>
                <w:rFonts w:ascii="Arial" w:cs="Arial" w:eastAsia="Arial" w:hAnsi="Arial"/>
                <w:sz w:val="18"/>
                <w:szCs w:val="18"/>
                <w:color w:val="auto"/>
                <w:w w:val="94"/>
              </w:rPr>
              <w:t>NASCAR racing experience for mobile devices. It was developed by</w:t>
            </w: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20" w:type="dxa"/>
            <w:vAlign w:val="bottom"/>
            <w:vMerge w:val="continue"/>
          </w:tcPr>
          <w:p>
            <w:pPr>
              <w:spacing w:after="0"/>
              <w:rPr>
                <w:sz w:val="7"/>
                <w:szCs w:val="7"/>
                <w:color w:val="auto"/>
              </w:rPr>
            </w:pPr>
          </w:p>
        </w:tc>
        <w:tc>
          <w:tcPr>
            <w:tcW w:w="6100" w:type="dxa"/>
            <w:vAlign w:val="bottom"/>
            <w:vMerge w:val="restart"/>
          </w:tcPr>
          <w:p>
            <w:pPr>
              <w:ind w:left="940"/>
              <w:spacing w:after="0"/>
              <w:rPr>
                <w:sz w:val="20"/>
                <w:szCs w:val="20"/>
                <w:color w:val="auto"/>
              </w:rPr>
            </w:pPr>
            <w:r>
              <w:rPr>
                <w:rFonts w:ascii="Arial" w:cs="Arial" w:eastAsia="Arial" w:hAnsi="Arial"/>
                <w:sz w:val="18"/>
                <w:szCs w:val="18"/>
                <w:color w:val="auto"/>
                <w:w w:val="95"/>
              </w:rPr>
              <w:t>Firebrands Games and published by 704Games. To date, NASCAR</w:t>
            </w:r>
          </w:p>
        </w:tc>
        <w:tc>
          <w:tcPr>
            <w:tcW w:w="1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820" w:type="dxa"/>
            <w:vAlign w:val="bottom"/>
            <w:vMerge w:val="restart"/>
          </w:tcPr>
          <w:p>
            <w:pPr>
              <w:jc w:val="center"/>
              <w:ind w:right="830"/>
              <w:spacing w:after="0"/>
              <w:rPr>
                <w:sz w:val="20"/>
                <w:szCs w:val="20"/>
                <w:color w:val="auto"/>
              </w:rPr>
            </w:pPr>
            <w:r>
              <w:rPr>
                <w:rFonts w:ascii="Arial" w:cs="Arial" w:eastAsia="Arial" w:hAnsi="Arial"/>
                <w:sz w:val="18"/>
                <w:szCs w:val="18"/>
                <w:color w:val="auto"/>
                <w:w w:val="93"/>
              </w:rPr>
              <w:t>Heat Mobile</w:t>
            </w:r>
          </w:p>
        </w:tc>
        <w:tc>
          <w:tcPr>
            <w:tcW w:w="6100" w:type="dxa"/>
            <w:vAlign w:val="bottom"/>
            <w:vMerge w:val="continue"/>
          </w:tcPr>
          <w:p>
            <w:pPr>
              <w:spacing w:after="0"/>
              <w:rPr>
                <w:sz w:val="11"/>
                <w:szCs w:val="11"/>
                <w:color w:val="auto"/>
              </w:rPr>
            </w:pPr>
          </w:p>
        </w:tc>
        <w:tc>
          <w:tcPr>
            <w:tcW w:w="1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20" w:type="dxa"/>
            <w:vAlign w:val="bottom"/>
            <w:vMerge w:val="continue"/>
          </w:tcPr>
          <w:p>
            <w:pPr>
              <w:spacing w:after="0"/>
              <w:rPr>
                <w:sz w:val="8"/>
                <w:szCs w:val="8"/>
                <w:color w:val="auto"/>
              </w:rPr>
            </w:pPr>
          </w:p>
        </w:tc>
        <w:tc>
          <w:tcPr>
            <w:tcW w:w="6100" w:type="dxa"/>
            <w:vAlign w:val="bottom"/>
            <w:vMerge w:val="restart"/>
          </w:tcPr>
          <w:p>
            <w:pPr>
              <w:ind w:left="940"/>
              <w:spacing w:after="0"/>
              <w:rPr>
                <w:sz w:val="20"/>
                <w:szCs w:val="20"/>
                <w:color w:val="auto"/>
              </w:rPr>
            </w:pPr>
            <w:r>
              <w:rPr>
                <w:rFonts w:ascii="Arial" w:cs="Arial" w:eastAsia="Arial" w:hAnsi="Arial"/>
                <w:sz w:val="18"/>
                <w:szCs w:val="18"/>
                <w:color w:val="auto"/>
              </w:rPr>
              <w:t>Heat Mobile has had approximately five million total installs.</w:t>
            </w:r>
          </w:p>
        </w:tc>
        <w:tc>
          <w:tcPr>
            <w:tcW w:w="1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100" w:type="dxa"/>
            <w:vAlign w:val="bottom"/>
            <w:vMerge w:val="continue"/>
          </w:tcPr>
          <w:p>
            <w:pPr>
              <w:spacing w:after="0"/>
              <w:rPr>
                <w:sz w:val="11"/>
                <w:szCs w:val="11"/>
                <w:color w:val="auto"/>
              </w:rPr>
            </w:pPr>
          </w:p>
        </w:tc>
        <w:tc>
          <w:tcPr>
            <w:tcW w:w="1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3"/>
        </w:trPr>
        <w:tc>
          <w:tcPr>
            <w:tcW w:w="1820" w:type="dxa"/>
            <w:vAlign w:val="bottom"/>
          </w:tcPr>
          <w:p>
            <w:pPr>
              <w:spacing w:after="0"/>
              <w:rPr>
                <w:sz w:val="24"/>
                <w:szCs w:val="24"/>
                <w:color w:val="auto"/>
              </w:rPr>
            </w:pPr>
          </w:p>
        </w:tc>
        <w:tc>
          <w:tcPr>
            <w:tcW w:w="6100" w:type="dxa"/>
            <w:vAlign w:val="bottom"/>
          </w:tcPr>
          <w:p>
            <w:pPr>
              <w:ind w:left="940"/>
              <w:spacing w:after="0"/>
              <w:rPr>
                <w:sz w:val="20"/>
                <w:szCs w:val="20"/>
                <w:color w:val="auto"/>
              </w:rPr>
            </w:pPr>
            <w:r>
              <w:rPr>
                <w:rFonts w:ascii="Arial" w:cs="Arial" w:eastAsia="Arial" w:hAnsi="Arial"/>
                <w:sz w:val="18"/>
                <w:szCs w:val="18"/>
                <w:color w:val="auto"/>
              </w:rPr>
              <w:t>NASCAR Heat 4 is a racing video game simulating the 2019</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Xbox One,</w:t>
            </w:r>
          </w:p>
        </w:tc>
        <w:tc>
          <w:tcPr>
            <w:tcW w:w="1280" w:type="dxa"/>
            <w:vAlign w:val="bottom"/>
          </w:tcPr>
          <w:p>
            <w:pPr>
              <w:jc w:val="center"/>
              <w:ind w:left="110"/>
              <w:spacing w:after="0"/>
              <w:rPr>
                <w:sz w:val="20"/>
                <w:szCs w:val="20"/>
                <w:color w:val="auto"/>
              </w:rPr>
            </w:pPr>
            <w:r>
              <w:rPr>
                <w:rFonts w:ascii="Arial" w:cs="Arial" w:eastAsia="Arial" w:hAnsi="Arial"/>
                <w:sz w:val="18"/>
                <w:szCs w:val="18"/>
                <w:color w:val="auto"/>
                <w:w w:val="88"/>
              </w:rPr>
              <w:t>September 13,</w:t>
            </w:r>
          </w:p>
        </w:tc>
        <w:tc>
          <w:tcPr>
            <w:tcW w:w="0" w:type="dxa"/>
            <w:vAlign w:val="bottom"/>
          </w:tcPr>
          <w:p>
            <w:pPr>
              <w:spacing w:after="0"/>
              <w:rPr>
                <w:sz w:val="1"/>
                <w:szCs w:val="1"/>
                <w:color w:val="auto"/>
              </w:rPr>
            </w:pPr>
          </w:p>
        </w:tc>
      </w:tr>
      <w:tr>
        <w:trPr>
          <w:trHeight w:val="216"/>
        </w:trPr>
        <w:tc>
          <w:tcPr>
            <w:tcW w:w="1820" w:type="dxa"/>
            <w:vAlign w:val="bottom"/>
            <w:vMerge w:val="restart"/>
          </w:tcPr>
          <w:p>
            <w:pPr>
              <w:jc w:val="center"/>
              <w:ind w:right="830"/>
              <w:spacing w:after="0"/>
              <w:rPr>
                <w:sz w:val="20"/>
                <w:szCs w:val="20"/>
                <w:color w:val="auto"/>
              </w:rPr>
            </w:pPr>
            <w:r>
              <w:rPr>
                <w:rFonts w:ascii="Arial" w:cs="Arial" w:eastAsia="Arial" w:hAnsi="Arial"/>
                <w:sz w:val="18"/>
                <w:szCs w:val="18"/>
                <w:color w:val="auto"/>
                <w:w w:val="98"/>
              </w:rPr>
              <w:t>NASCAR</w:t>
            </w:r>
          </w:p>
        </w:tc>
        <w:tc>
          <w:tcPr>
            <w:tcW w:w="6100" w:type="dxa"/>
            <w:vAlign w:val="bottom"/>
          </w:tcPr>
          <w:p>
            <w:pPr>
              <w:ind w:left="940"/>
              <w:spacing w:after="0"/>
              <w:rPr>
                <w:sz w:val="20"/>
                <w:szCs w:val="20"/>
                <w:color w:val="auto"/>
              </w:rPr>
            </w:pPr>
            <w:r>
              <w:rPr>
                <w:rFonts w:ascii="Arial" w:cs="Arial" w:eastAsia="Arial" w:hAnsi="Arial"/>
                <w:sz w:val="18"/>
                <w:szCs w:val="18"/>
                <w:color w:val="auto"/>
                <w:w w:val="93"/>
              </w:rPr>
              <w:t>NASCAR season. It was developed by Monster Games, Inc. and was</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PlayStation 4, and</w:t>
            </w:r>
          </w:p>
        </w:tc>
        <w:tc>
          <w:tcPr>
            <w:tcW w:w="1280" w:type="dxa"/>
            <w:vAlign w:val="bottom"/>
          </w:tcPr>
          <w:p>
            <w:pPr>
              <w:jc w:val="center"/>
              <w:ind w:left="11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6100" w:type="dxa"/>
            <w:vAlign w:val="bottom"/>
          </w:tcPr>
          <w:p>
            <w:pPr>
              <w:ind w:left="940"/>
              <w:spacing w:after="0" w:line="202" w:lineRule="exact"/>
              <w:rPr>
                <w:sz w:val="20"/>
                <w:szCs w:val="20"/>
                <w:color w:val="auto"/>
              </w:rPr>
            </w:pPr>
            <w:r>
              <w:rPr>
                <w:rFonts w:ascii="Arial" w:cs="Arial" w:eastAsia="Arial" w:hAnsi="Arial"/>
                <w:sz w:val="18"/>
                <w:szCs w:val="18"/>
                <w:color w:val="auto"/>
              </w:rPr>
              <w:t>published by 704Games. To date, NASCAR Heat 4 is the most</w:t>
            </w: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5"/>
              </w:rPr>
              <w:t>Microsoft Windows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20" w:type="dxa"/>
            <w:vAlign w:val="bottom"/>
          </w:tcPr>
          <w:p>
            <w:pPr>
              <w:jc w:val="center"/>
              <w:ind w:right="830"/>
              <w:spacing w:after="0"/>
              <w:rPr>
                <w:sz w:val="20"/>
                <w:szCs w:val="20"/>
                <w:color w:val="auto"/>
              </w:rPr>
            </w:pPr>
            <w:r>
              <w:rPr>
                <w:rFonts w:ascii="Arial" w:cs="Arial" w:eastAsia="Arial" w:hAnsi="Arial"/>
                <w:sz w:val="18"/>
                <w:szCs w:val="18"/>
                <w:color w:val="auto"/>
                <w:w w:val="86"/>
              </w:rPr>
              <w:t>Heat 4</w:t>
            </w:r>
          </w:p>
        </w:tc>
        <w:tc>
          <w:tcPr>
            <w:tcW w:w="6100" w:type="dxa"/>
            <w:vAlign w:val="bottom"/>
          </w:tcPr>
          <w:p>
            <w:pPr>
              <w:ind w:left="940"/>
              <w:spacing w:after="0"/>
              <w:rPr>
                <w:sz w:val="20"/>
                <w:szCs w:val="20"/>
                <w:color w:val="auto"/>
              </w:rPr>
            </w:pPr>
            <w:r>
              <w:rPr>
                <w:rFonts w:ascii="Arial" w:cs="Arial" w:eastAsia="Arial" w:hAnsi="Arial"/>
                <w:sz w:val="18"/>
                <w:szCs w:val="18"/>
                <w:color w:val="auto"/>
                <w:w w:val="95"/>
              </w:rPr>
              <w:t>successful sequel of the NASCAR Heat franchise based on quantity</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via Steam</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6100" w:type="dxa"/>
            <w:vAlign w:val="bottom"/>
          </w:tcPr>
          <w:p>
            <w:pPr>
              <w:ind w:left="940"/>
              <w:spacing w:after="0"/>
              <w:rPr>
                <w:sz w:val="20"/>
                <w:szCs w:val="20"/>
                <w:color w:val="auto"/>
              </w:rPr>
            </w:pPr>
            <w:r>
              <w:rPr>
                <w:rFonts w:ascii="Arial" w:cs="Arial" w:eastAsia="Arial" w:hAnsi="Arial"/>
                <w:sz w:val="18"/>
                <w:szCs w:val="18"/>
                <w:color w:val="auto"/>
              </w:rPr>
              <w:t>of units sold.</w:t>
            </w: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1820" w:type="dxa"/>
            <w:vAlign w:val="bottom"/>
          </w:tcPr>
          <w:p>
            <w:pPr>
              <w:spacing w:after="0"/>
              <w:rPr>
                <w:sz w:val="24"/>
                <w:szCs w:val="24"/>
                <w:color w:val="auto"/>
              </w:rPr>
            </w:pPr>
          </w:p>
        </w:tc>
        <w:tc>
          <w:tcPr>
            <w:tcW w:w="6100" w:type="dxa"/>
            <w:vAlign w:val="bottom"/>
          </w:tcPr>
          <w:p>
            <w:pPr>
              <w:ind w:left="940"/>
              <w:spacing w:after="0"/>
              <w:rPr>
                <w:sz w:val="20"/>
                <w:szCs w:val="20"/>
                <w:color w:val="auto"/>
              </w:rPr>
            </w:pPr>
            <w:r>
              <w:rPr>
                <w:rFonts w:ascii="Arial" w:cs="Arial" w:eastAsia="Arial" w:hAnsi="Arial"/>
                <w:sz w:val="18"/>
                <w:szCs w:val="18"/>
                <w:color w:val="auto"/>
              </w:rPr>
              <w:t>NASCAR Heat 5 is a racing video game simulating the 2020</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Xbox One,</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0"/>
              </w:rPr>
              <w:t>July 7 and 10,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6100" w:type="dxa"/>
            <w:vAlign w:val="bottom"/>
          </w:tcPr>
          <w:p>
            <w:pPr>
              <w:ind w:left="940"/>
              <w:spacing w:after="0"/>
              <w:rPr>
                <w:sz w:val="20"/>
                <w:szCs w:val="20"/>
                <w:color w:val="auto"/>
              </w:rPr>
            </w:pPr>
            <w:r>
              <w:rPr>
                <w:rFonts w:ascii="Arial" w:cs="Arial" w:eastAsia="Arial" w:hAnsi="Arial"/>
                <w:sz w:val="18"/>
                <w:szCs w:val="18"/>
                <w:color w:val="auto"/>
                <w:w w:val="92"/>
              </w:rPr>
              <w:t>NASCAR season. It was developed by 704Games and was published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PlayStation 4,</w:t>
            </w:r>
          </w:p>
        </w:tc>
        <w:tc>
          <w:tcPr>
            <w:tcW w:w="1280" w:type="dxa"/>
            <w:vAlign w:val="bottom"/>
          </w:tcPr>
          <w:p>
            <w:pPr>
              <w:jc w:val="center"/>
              <w:ind w:left="11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6100" w:type="dxa"/>
            <w:vAlign w:val="bottom"/>
          </w:tcPr>
          <w:p>
            <w:pPr>
              <w:ind w:left="940"/>
              <w:spacing w:after="0"/>
              <w:rPr>
                <w:sz w:val="20"/>
                <w:szCs w:val="20"/>
                <w:color w:val="auto"/>
              </w:rPr>
            </w:pPr>
            <w:r>
              <w:rPr>
                <w:rFonts w:ascii="Arial" w:cs="Arial" w:eastAsia="Arial" w:hAnsi="Arial"/>
                <w:sz w:val="18"/>
                <w:szCs w:val="18"/>
                <w:color w:val="auto"/>
              </w:rPr>
              <w:t>by Motorsport Games.</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Microsoft Windows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830"/>
              <w:spacing w:after="0"/>
              <w:rPr>
                <w:sz w:val="20"/>
                <w:szCs w:val="20"/>
                <w:color w:val="auto"/>
              </w:rPr>
            </w:pPr>
            <w:r>
              <w:rPr>
                <w:rFonts w:ascii="Arial" w:cs="Arial" w:eastAsia="Arial" w:hAnsi="Arial"/>
                <w:sz w:val="18"/>
                <w:szCs w:val="18"/>
                <w:color w:val="auto"/>
                <w:w w:val="98"/>
              </w:rPr>
              <w:t>NASCAR</w:t>
            </w:r>
          </w:p>
        </w:tc>
        <w:tc>
          <w:tcPr>
            <w:tcW w:w="6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via Steam and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830"/>
              <w:spacing w:after="0"/>
              <w:rPr>
                <w:sz w:val="20"/>
                <w:szCs w:val="20"/>
                <w:color w:val="auto"/>
              </w:rPr>
            </w:pPr>
            <w:r>
              <w:rPr>
                <w:rFonts w:ascii="Arial" w:cs="Arial" w:eastAsia="Arial" w:hAnsi="Arial"/>
                <w:sz w:val="18"/>
                <w:szCs w:val="18"/>
                <w:color w:val="auto"/>
                <w:w w:val="86"/>
              </w:rPr>
              <w:t>Heat 5</w:t>
            </w:r>
          </w:p>
        </w:tc>
        <w:tc>
          <w:tcPr>
            <w:tcW w:w="6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Nintendo Switch</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(projected to launch</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before the end of</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2020)</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-2845435</wp:posOffset>
            </wp:positionV>
            <wp:extent cx="676910" cy="258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6910" cy="258000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NASCAR</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NXT*</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TBC)</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NASCAR NXT is an upcoming racing video game simulating the</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Xbox Series X,</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1"/>
              </w:rPr>
              <w:t>Projected mid-</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6"/>
              </w:rPr>
              <w:t>2021 NASCAR season. This is a first installment of the new series,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PlayStation 5,</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2021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7"/>
              </w:rPr>
              <w:t>which changes the game engine, physics, artificial intelligence and</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Microsoft Windows</w:t>
            </w:r>
          </w:p>
        </w:tc>
        <w:tc>
          <w:tcPr>
            <w:tcW w:w="12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many other game fundamental components.</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via Steam and</w:t>
            </w:r>
          </w:p>
        </w:tc>
        <w:tc>
          <w:tcPr>
            <w:tcW w:w="128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Nintendo Switch</w:t>
            </w:r>
          </w:p>
        </w:tc>
        <w:tc>
          <w:tcPr>
            <w:tcW w:w="1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-685165</wp:posOffset>
            </wp:positionV>
            <wp:extent cx="857250" cy="9855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0" cy="98552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2140" w:space="720"/>
            <w:col w:w="8380"/>
          </w:cols>
          <w:pgMar w:left="320" w:top="665" w:right="339" w:bottom="1440" w:gutter="0" w:footer="0" w:header="0"/>
          <w:type w:val="continuous"/>
        </w:sectPr>
      </w:pPr>
    </w:p>
    <w:p>
      <w:pPr>
        <w:spacing w:after="0" w:line="3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our portfolio of official race franchise games grows, we plan to launch a direct-to-customer subscription model that will allow privileged access to this portfolio of products as well as other loyalty perks. We anticipate that other virtual racing publishers may want to participate in our subscription services, which would allow us to derive additional revenue from game titles that are not developed or published by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Esports Partnerships and Franchises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recognize the growing importance and business viability of esports, especially within the racing and motorsport genres. In recognition of this importance, we manage and operate the esports platforms for numerous racing series and organizations. In 2019, we organized and facilitated three e-racing series for the eNHPL, the Le Mans Esports Series and the official DiRT Rally 2.0 World Championship, broadcasting an aggregate of 21 events, with a cumulative total audience viewership of approximately 1.3 million. From January 2020 through July 31, 2020, we organized and facilitated eight e-racing series for the eNHPL, Le Mans Esports Series, 24 Hours of Le Mans Virtual, official DiRT Rally 2.0 World Championship, Official World Rallycross Esports Championship, ABB Formula E Race at Home Challenge, Race of Champions Virtual Series and Karting Series. Throughout these eight e-racing series to date in 2020, we broadcasted an aggregate of 36 events with a cumulative total audience viewership of approximately 43.3 million, up from a total of approximately 1.3 million viewers throughout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78" w:name="page79"/>
    <w:bookmarkEnd w:id="78"/>
    <w:p>
      <w:pPr>
        <w:ind w:left="660"/>
        <w:spacing w:after="0"/>
        <w:rPr>
          <w:sz w:val="20"/>
          <w:szCs w:val="20"/>
          <w:color w:val="auto"/>
        </w:rPr>
      </w:pPr>
      <w:r>
        <w:rPr>
          <w:rFonts w:ascii="Arial" w:cs="Arial" w:eastAsia="Arial" w:hAnsi="Arial"/>
          <w:sz w:val="18"/>
          <w:szCs w:val="18"/>
          <w:color w:val="auto"/>
        </w:rPr>
        <w:t>Our experience in hosting esports events throughout 2019 and 2020 includes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Event</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Racing Type</w:t>
            </w:r>
          </w:p>
        </w:tc>
        <w:tc>
          <w:tcPr>
            <w:tcW w:w="240" w:type="dxa"/>
            <w:vAlign w:val="bottom"/>
          </w:tcPr>
          <w:p>
            <w:pPr>
              <w:spacing w:after="0"/>
              <w:rPr>
                <w:sz w:val="18"/>
                <w:szCs w:val="18"/>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Arrangement</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Key Event and Viewership</w:t>
            </w:r>
          </w:p>
        </w:tc>
        <w:tc>
          <w:tcPr>
            <w:tcW w:w="0" w:type="dxa"/>
            <w:vAlign w:val="bottom"/>
          </w:tcPr>
          <w:p>
            <w:pPr>
              <w:spacing w:after="0"/>
              <w:rPr>
                <w:sz w:val="1"/>
                <w:szCs w:val="1"/>
                <w:color w:val="auto"/>
              </w:rPr>
            </w:pPr>
          </w:p>
        </w:tc>
      </w:tr>
      <w:tr>
        <w:trPr>
          <w:trHeight w:val="241"/>
        </w:trPr>
        <w:tc>
          <w:tcPr>
            <w:tcW w:w="3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Statistics</w:t>
            </w:r>
          </w:p>
        </w:tc>
        <w:tc>
          <w:tcPr>
            <w:tcW w:w="0" w:type="dxa"/>
            <w:vAlign w:val="bottom"/>
          </w:tcPr>
          <w:p>
            <w:pPr>
              <w:spacing w:after="0"/>
              <w:rPr>
                <w:sz w:val="1"/>
                <w:szCs w:val="1"/>
                <w:color w:val="auto"/>
              </w:rPr>
            </w:pPr>
          </w:p>
        </w:tc>
      </w:tr>
      <w:tr>
        <w:trPr>
          <w:trHeight w:val="202"/>
        </w:trPr>
        <w:tc>
          <w:tcPr>
            <w:tcW w:w="3620" w:type="dxa"/>
            <w:vAlign w:val="bottom"/>
          </w:tcPr>
          <w:p>
            <w:pPr>
              <w:jc w:val="center"/>
              <w:spacing w:after="0" w:line="201" w:lineRule="exact"/>
              <w:rPr>
                <w:sz w:val="20"/>
                <w:szCs w:val="20"/>
                <w:color w:val="auto"/>
              </w:rPr>
            </w:pPr>
            <w:r>
              <w:rPr>
                <w:rFonts w:ascii="Arial" w:cs="Arial" w:eastAsia="Arial" w:hAnsi="Arial"/>
                <w:sz w:val="18"/>
                <w:szCs w:val="18"/>
                <w:color w:val="auto"/>
                <w:w w:val="91"/>
              </w:rPr>
              <w:t>eNASCAR Heat Pro League</w:t>
            </w:r>
          </w:p>
        </w:tc>
        <w:tc>
          <w:tcPr>
            <w:tcW w:w="220" w:type="dxa"/>
            <w:vAlign w:val="bottom"/>
          </w:tcPr>
          <w:p>
            <w:pPr>
              <w:spacing w:after="0"/>
              <w:rPr>
                <w:sz w:val="17"/>
                <w:szCs w:val="17"/>
                <w:color w:val="auto"/>
              </w:rPr>
            </w:pPr>
          </w:p>
        </w:tc>
        <w:tc>
          <w:tcPr>
            <w:tcW w:w="1580" w:type="dxa"/>
            <w:vAlign w:val="bottom"/>
          </w:tcPr>
          <w:p>
            <w:pPr>
              <w:jc w:val="center"/>
              <w:spacing w:after="0" w:line="201" w:lineRule="exact"/>
              <w:rPr>
                <w:sz w:val="20"/>
                <w:szCs w:val="20"/>
                <w:color w:val="auto"/>
              </w:rPr>
            </w:pPr>
            <w:r>
              <w:rPr>
                <w:rFonts w:ascii="Arial" w:cs="Arial" w:eastAsia="Arial" w:hAnsi="Arial"/>
                <w:sz w:val="18"/>
                <w:szCs w:val="18"/>
                <w:color w:val="auto"/>
                <w:w w:val="89"/>
              </w:rPr>
              <w:t>Stock Car Racing</w:t>
            </w:r>
          </w:p>
        </w:tc>
        <w:tc>
          <w:tcPr>
            <w:tcW w:w="240" w:type="dxa"/>
            <w:vAlign w:val="bottom"/>
          </w:tcPr>
          <w:p>
            <w:pPr>
              <w:spacing w:after="0"/>
              <w:rPr>
                <w:sz w:val="17"/>
                <w:szCs w:val="17"/>
                <w:color w:val="auto"/>
              </w:rPr>
            </w:pPr>
          </w:p>
        </w:tc>
        <w:tc>
          <w:tcPr>
            <w:tcW w:w="2680" w:type="dxa"/>
            <w:vAlign w:val="bottom"/>
          </w:tcPr>
          <w:p>
            <w:pPr>
              <w:jc w:val="center"/>
              <w:spacing w:after="0" w:line="201" w:lineRule="exact"/>
              <w:rPr>
                <w:sz w:val="20"/>
                <w:szCs w:val="20"/>
                <w:color w:val="auto"/>
              </w:rPr>
            </w:pPr>
            <w:r>
              <w:rPr>
                <w:rFonts w:ascii="Arial" w:cs="Arial" w:eastAsia="Arial" w:hAnsi="Arial"/>
                <w:sz w:val="18"/>
                <w:szCs w:val="18"/>
                <w:color w:val="auto"/>
                <w:w w:val="93"/>
              </w:rPr>
              <w:t>Collaboration between NASCAR,</w:t>
            </w:r>
          </w:p>
        </w:tc>
        <w:tc>
          <w:tcPr>
            <w:tcW w:w="220" w:type="dxa"/>
            <w:vAlign w:val="bottom"/>
          </w:tcPr>
          <w:p>
            <w:pPr>
              <w:spacing w:after="0"/>
              <w:rPr>
                <w:sz w:val="17"/>
                <w:szCs w:val="17"/>
                <w:color w:val="auto"/>
              </w:rPr>
            </w:pPr>
          </w:p>
        </w:tc>
        <w:tc>
          <w:tcPr>
            <w:tcW w:w="2680" w:type="dxa"/>
            <w:vAlign w:val="bottom"/>
          </w:tcPr>
          <w:p>
            <w:pPr>
              <w:jc w:val="center"/>
              <w:spacing w:after="0" w:line="201" w:lineRule="exact"/>
              <w:rPr>
                <w:sz w:val="20"/>
                <w:szCs w:val="20"/>
                <w:color w:val="auto"/>
              </w:rPr>
            </w:pPr>
            <w:r>
              <w:rPr>
                <w:rFonts w:ascii="Arial" w:cs="Arial" w:eastAsia="Arial" w:hAnsi="Arial"/>
                <w:sz w:val="18"/>
                <w:szCs w:val="18"/>
                <w:color w:val="auto"/>
                <w:w w:val="89"/>
              </w:rPr>
              <w:t>Events: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the RTA and 704Games to create the</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2019 - 12 events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first-ever console-based NASCAR</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esports league</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2020 - 10 events</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6"/>
              </w:rPr>
              <w:t>Live Views: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4"/>
              </w:rPr>
              <w:t>2019 - 1.7 million</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4"/>
              </w:rPr>
              <w:t>2020 - 2.4 million</w:t>
            </w:r>
          </w:p>
        </w:tc>
        <w:tc>
          <w:tcPr>
            <w:tcW w:w="0" w:type="dxa"/>
            <w:vAlign w:val="bottom"/>
          </w:tcPr>
          <w:p>
            <w:pPr>
              <w:spacing w:after="0"/>
              <w:rPr>
                <w:sz w:val="1"/>
                <w:szCs w:val="1"/>
                <w:color w:val="auto"/>
              </w:rPr>
            </w:pPr>
          </w:p>
        </w:tc>
      </w:tr>
      <w:tr>
        <w:trPr>
          <w:trHeight w:val="445"/>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Le Mans Esports Series</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Endurance Racing</w:t>
            </w:r>
          </w:p>
        </w:tc>
        <w:tc>
          <w:tcPr>
            <w:tcW w:w="240" w:type="dxa"/>
            <w:vAlign w:val="bottom"/>
          </w:tcPr>
          <w:p>
            <w:pPr>
              <w:spacing w:after="0"/>
              <w:rPr>
                <w:sz w:val="24"/>
                <w:szCs w:val="2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45% ownership of Joint Venture with</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Events: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ACO, organizer of the 24 Hours of</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2019 - 7 events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Le Mans endurance race</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2020 - 6 events</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6"/>
              </w:rPr>
              <w:t>Live Views: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2019 - 226,000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2020 - 577,000.</w:t>
            </w:r>
          </w:p>
        </w:tc>
        <w:tc>
          <w:tcPr>
            <w:tcW w:w="0" w:type="dxa"/>
            <w:vAlign w:val="bottom"/>
          </w:tcPr>
          <w:p>
            <w:pPr>
              <w:spacing w:after="0"/>
              <w:rPr>
                <w:sz w:val="1"/>
                <w:szCs w:val="1"/>
                <w:color w:val="auto"/>
              </w:rPr>
            </w:pPr>
          </w:p>
        </w:tc>
      </w:tr>
      <w:tr>
        <w:trPr>
          <w:trHeight w:val="445"/>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24 Hour of Le Mans Virtual</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Endurance Racing</w:t>
            </w:r>
          </w:p>
        </w:tc>
        <w:tc>
          <w:tcPr>
            <w:tcW w:w="240" w:type="dxa"/>
            <w:vAlign w:val="bottom"/>
          </w:tcPr>
          <w:p>
            <w:pPr>
              <w:spacing w:after="0"/>
              <w:rPr>
                <w:sz w:val="24"/>
                <w:szCs w:val="2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45% ownership of Joint Venture with</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2020 Inaugural Race: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ACO</w:t>
            </w:r>
          </w:p>
        </w:tc>
        <w:tc>
          <w:tcPr>
            <w:tcW w:w="2680" w:type="dxa"/>
            <w:vAlign w:val="bottom"/>
            <w:vMerge w:val="restart"/>
          </w:tcPr>
          <w:p>
            <w:pPr>
              <w:jc w:val="center"/>
              <w:spacing w:after="0"/>
              <w:rPr>
                <w:sz w:val="20"/>
                <w:szCs w:val="20"/>
                <w:color w:val="auto"/>
              </w:rPr>
            </w:pPr>
            <w:r>
              <w:rPr>
                <w:rFonts w:ascii="Arial" w:cs="Arial" w:eastAsia="Arial" w:hAnsi="Arial"/>
                <w:sz w:val="18"/>
                <w:szCs w:val="18"/>
                <w:color w:val="auto"/>
                <w:w w:val="94"/>
              </w:rPr>
              <w:t>More than 14 million linear/ OTT</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viewers and more than 8.6 million</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digital viewers</w:t>
            </w:r>
          </w:p>
        </w:tc>
        <w:tc>
          <w:tcPr>
            <w:tcW w:w="0" w:type="dxa"/>
            <w:vAlign w:val="bottom"/>
          </w:tcPr>
          <w:p>
            <w:pPr>
              <w:spacing w:after="0"/>
              <w:rPr>
                <w:sz w:val="1"/>
                <w:szCs w:val="1"/>
                <w:color w:val="auto"/>
              </w:rPr>
            </w:pPr>
          </w:p>
        </w:tc>
      </w:tr>
      <w:tr>
        <w:trPr>
          <w:trHeight w:val="823"/>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Official DiRT Rally 2.0 World Championship</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Off Road Racing</w:t>
            </w:r>
          </w:p>
        </w:tc>
        <w:tc>
          <w:tcPr>
            <w:tcW w:w="240" w:type="dxa"/>
            <w:vAlign w:val="bottom"/>
          </w:tcPr>
          <w:p>
            <w:pPr>
              <w:spacing w:after="0"/>
              <w:rPr>
                <w:sz w:val="24"/>
                <w:szCs w:val="2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Motorsport Network Agreement</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Events: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with Codemasters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2019 - 2 events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January 2020 through</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August/September 2020 - 2 events</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6"/>
              </w:rPr>
              <w:t>Live Views: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2019 - 227,000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2020 shows and events expected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to begin in August/September</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2020.</w:t>
            </w:r>
          </w:p>
        </w:tc>
        <w:tc>
          <w:tcPr>
            <w:tcW w:w="0" w:type="dxa"/>
            <w:vAlign w:val="bottom"/>
          </w:tcPr>
          <w:p>
            <w:pPr>
              <w:spacing w:after="0"/>
              <w:rPr>
                <w:sz w:val="1"/>
                <w:szCs w:val="1"/>
                <w:color w:val="auto"/>
              </w:rPr>
            </w:pPr>
          </w:p>
        </w:tc>
      </w:tr>
      <w:tr>
        <w:trPr>
          <w:trHeight w:val="445"/>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Official World Rallycross Esports</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Mixed Surface</w:t>
            </w:r>
          </w:p>
        </w:tc>
        <w:tc>
          <w:tcPr>
            <w:tcW w:w="240" w:type="dxa"/>
            <w:vAlign w:val="bottom"/>
          </w:tcPr>
          <w:p>
            <w:pPr>
              <w:spacing w:after="0"/>
              <w:rPr>
                <w:sz w:val="24"/>
                <w:szCs w:val="2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Agreement with Codemasters and</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Events:</w:t>
            </w:r>
          </w:p>
        </w:tc>
        <w:tc>
          <w:tcPr>
            <w:tcW w:w="0" w:type="dxa"/>
            <w:vAlign w:val="bottom"/>
          </w:tcPr>
          <w:p>
            <w:pPr>
              <w:spacing w:after="0"/>
              <w:rPr>
                <w:sz w:val="1"/>
                <w:szCs w:val="1"/>
                <w:color w:val="auto"/>
              </w:rPr>
            </w:pP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Championship</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Circuit Racing</w:t>
            </w:r>
          </w:p>
        </w:tc>
        <w:tc>
          <w:tcPr>
            <w:tcW w:w="240" w:type="dxa"/>
            <w:vAlign w:val="bottom"/>
          </w:tcPr>
          <w:p>
            <w:pPr>
              <w:spacing w:after="0"/>
              <w:rPr>
                <w:sz w:val="18"/>
                <w:szCs w:val="18"/>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International Management Group</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2020 - 6 events</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6"/>
              </w:rPr>
              <w:t>Live Views: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4"/>
              </w:rPr>
              <w:t>2020 - 1.2 million</w:t>
            </w:r>
          </w:p>
        </w:tc>
        <w:tc>
          <w:tcPr>
            <w:tcW w:w="0" w:type="dxa"/>
            <w:vAlign w:val="bottom"/>
          </w:tcPr>
          <w:p>
            <w:pPr>
              <w:spacing w:after="0"/>
              <w:rPr>
                <w:sz w:val="1"/>
                <w:szCs w:val="1"/>
                <w:color w:val="auto"/>
              </w:rPr>
            </w:pPr>
          </w:p>
        </w:tc>
      </w:tr>
      <w:tr>
        <w:trPr>
          <w:trHeight w:val="445"/>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ABB Formula E Race at Home Challenge</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City Circuit Racing</w:t>
            </w:r>
          </w:p>
        </w:tc>
        <w:tc>
          <w:tcPr>
            <w:tcW w:w="240" w:type="dxa"/>
            <w:vAlign w:val="bottom"/>
          </w:tcPr>
          <w:p>
            <w:pPr>
              <w:spacing w:after="0"/>
              <w:rPr>
                <w:sz w:val="24"/>
                <w:szCs w:val="24"/>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Agreement with FIA Formula E</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Events: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2020 - 9 events</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6"/>
              </w:rPr>
              <w:t>Live Views: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2020 - 29.0 million</w:t>
            </w:r>
          </w:p>
        </w:tc>
        <w:tc>
          <w:tcPr>
            <w:tcW w:w="0" w:type="dxa"/>
            <w:vAlign w:val="bottom"/>
          </w:tcPr>
          <w:p>
            <w:pPr>
              <w:spacing w:after="0"/>
              <w:rPr>
                <w:sz w:val="1"/>
                <w:szCs w:val="1"/>
                <w:color w:val="auto"/>
              </w:rPr>
            </w:pPr>
          </w:p>
        </w:tc>
      </w:tr>
      <w:tr>
        <w:trPr>
          <w:trHeight w:val="445"/>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Race of Champions Virtual</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Mixed Surface</w:t>
            </w:r>
          </w:p>
        </w:tc>
        <w:tc>
          <w:tcPr>
            <w:tcW w:w="240" w:type="dxa"/>
            <w:vAlign w:val="bottom"/>
          </w:tcPr>
          <w:p>
            <w:pPr>
              <w:spacing w:after="0"/>
              <w:rPr>
                <w:sz w:val="24"/>
                <w:szCs w:val="2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Agreement with International Media</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Events: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Circuit Racing</w:t>
            </w:r>
          </w:p>
        </w:tc>
        <w:tc>
          <w:tcPr>
            <w:tcW w:w="240" w:type="dxa"/>
            <w:vAlign w:val="bottom"/>
          </w:tcPr>
          <w:p>
            <w:pPr>
              <w:spacing w:after="0"/>
              <w:rPr>
                <w:sz w:val="18"/>
                <w:szCs w:val="18"/>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Productions S.A.M.</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2020 - 1 event</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6"/>
              </w:rPr>
              <w:t>Live Views: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January 2020 through July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2020 - 53,000</w:t>
            </w:r>
          </w:p>
        </w:tc>
        <w:tc>
          <w:tcPr>
            <w:tcW w:w="0" w:type="dxa"/>
            <w:vAlign w:val="bottom"/>
          </w:tcPr>
          <w:p>
            <w:pPr>
              <w:spacing w:after="0"/>
              <w:rPr>
                <w:sz w:val="1"/>
                <w:szCs w:val="1"/>
                <w:color w:val="auto"/>
              </w:rPr>
            </w:pPr>
          </w:p>
        </w:tc>
      </w:tr>
      <w:tr>
        <w:trPr>
          <w:trHeight w:val="66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2530"/>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-8735060</wp:posOffset>
            </wp:positionV>
            <wp:extent cx="960120" cy="557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60120" cy="55753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-7346315</wp:posOffset>
            </wp:positionV>
            <wp:extent cx="728345" cy="565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345" cy="56578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-5957570</wp:posOffset>
            </wp:positionV>
            <wp:extent cx="1259840" cy="651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59840" cy="65151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-4877435</wp:posOffset>
            </wp:positionV>
            <wp:extent cx="702945" cy="8489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2945" cy="84899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-3214370</wp:posOffset>
            </wp:positionV>
            <wp:extent cx="1285875" cy="4972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5875" cy="49720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-2237105</wp:posOffset>
            </wp:positionV>
            <wp:extent cx="1842770" cy="4540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42770" cy="45402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-1122680</wp:posOffset>
            </wp:positionV>
            <wp:extent cx="1722755" cy="797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22755" cy="797560"/>
                    </a:xfrm>
                    <a:prstGeom prst="rect">
                      <a:avLst/>
                    </a:prstGeom>
                    <a:noFill/>
                  </pic:spPr>
                </pic:pic>
              </a:graphicData>
            </a:graphic>
          </wp:anchor>
        </w:drawing>
      </w:r>
    </w:p>
    <w:p>
      <w:pPr>
        <w:sectPr>
          <w:pgSz w:w="11900" w:h="16838" w:orient="portrait"/>
          <w:cols w:equalWidth="0" w:num="1">
            <w:col w:w="11240"/>
          </w:cols>
          <w:pgMar w:left="320" w:top="665" w:right="339" w:bottom="514"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Our Audience and Our Community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sole member, Motorsport Network, is a leading global motorsport and automotive digital media platform. Founded in 2015, Motorsport Network offers hundreds of millions of fans and enthusiasts around the globe a more thrilling and interactive experience to engage with motorsports and cars by leveraging its technology, customer intelligence and brands. Since its inception, it has grown at a 103% compounded annual growth rate (CAGR) to become, by 2019, the biggest integrated digital media company in the motorsports and automotive industry. Motorsport Network houses a world-class team of employees, across 23 countries, that creates engaging, around-the-clock content and experiences for passionate fans of motorsports and the automotive industry world-wide.</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July 2020, Motorsport Network had over 55 million unique visitors generating over 326 million monthly page views on its flagship platforms, including motorsport.com, autosport.com and motor1.com, and access to approximately 126 million viewing profiles that Motorsport Network has captured over the prior six months. Approximately 81% of this audience is male, 44% earn more than $100,000 per year and 24% have a postgraduate or master’s degree. Moreover, Motorsport Network’s audience has a median age of 34 years and includes 9 million individuals who own a gaming console.</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a promotion agreement we entered into with Motorsport Network in August 2018, Motorsport Network will provide us with exclusive promotion services consisting of the use of its and its affiliates’ various media platforms to promote our business, organizations, products and services in the racing video game market and related esports activities. Accordingly, our relationship with Motorsport Network provides us access to its highly engaged, brand-loyal and affluent audience, including in the form of editorial coverage, ad stack and special organic integrations that puts us in front of this targeted audience. We believe this allows us to cultivate a passionate fanbase to engage in our offered products and services that is similar to the target audience for our racing game products, and racing esports events and platform. We also believe this audience has an active lifestyle and a passion for everything motorsport and auto-related with a strong track record of returning to trusted brands. The promotion agreement will remain in effect until such date that Motorsport Network no longer holds at least 20% of the voting interest in Motorsport Games, at which point we anticipate being able to extend or re-negotiate the promotion agreement on reasonable terms.</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also continued to develop our audience base through our marketing efforts as discussed below under “—Marketing, Sales, and Distribution,” including through activities on Facebook, Twitter, Twitch, YouTube and other online social networks. Additionally, in 2021, we plan to develop and produce live original reality television shows that include interactive broadcasts, live streaming, and social media-oriented programs (including Twitch.tv, YouTube, Facebook, Motorsport.tv and other potential partners) for our own OTT racing esports channel, which we expect to host on APEX.</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generate revenue primarily by selling our racing video game products for video game consoles, PC, and mobile platforms through various retail and digital channels, including full-game and downloadable content. The Company also generates revenue from advertising partners and sponsors. We help our advertising partners and sponsors to generate a return on their investment by creating engaging content that reaches our large and desirable audience. We utilize multiple points of contact with our players and our audience and use every opportunity to upsell our products via our multiple platforms, in-game, email and original events.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esports business generates revenue from sponsorships, advertising and media rights for events and competitions. In addition, should audience patterns continue to grow and reach critical mass, we believe the esports business has the potential to generate incremental revenues through the further sale of broadcasting rights to the Company’s esports events and competitions, as well as merchandising and sports betting. In addition, our APEX platform, which is currently under development and expected to launch in beta in the first quarter of 2021, will further help us monetize our audience through sponsorship and advertising revenues as we attract a large amount of traffic to our community platform, and sell tickets to our esports events.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Many of our products contain software that enables us to connect with our gamers directly, including through customized advertising and in-game messaging based on customer preferences and trends. This provides a significant marketing tool that allows us to communicate and market directly to our customers.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direct marketing efforts include activities on Facebook, Twitter, Twitch, YouTube and other online social networks, online advertising, public relations activity,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 Our relationship with Motorsport Network also provides us access to their highly engaged, brand-loyal and affluent audience, including in the form of editorial coverage, ad stack and special organic integrations that puts us in front of this targeted audience.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we also receive marketing support from hardware manufacturers, producers of consumer products related to a game, and retailers in connection with their own promotional efforts, as well as co-marketing from promotional partners. For example, through our partnership with NASCAR, we benefit from having access to their extensive fanbase and social and digital media audience to market our products through e-mail marketing campaigns, coordinated social media advertising (including Facebook and Twitter) and collaborated press releases, further expanding NASCAR and racing enthusiasts’ awareness of our products.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704Games is a 50/50 joint venture partner with an affiliate of the RTA to develop the eNHPL. RTA is an organization consisting of 13 NASCAR Cup Series teams and supports the promotion of eNHPL events through their individual team social and digital platforms, including by cross-posting Facebook livestreams of race broadcasts, adding eNHPL specific pages on team/sponsor websites, displaying tune-in graphics and digital promotions, generating creative content with specific eNHPL drivers, supporting NASCAR Heat social and digital content, integrating with existing partners and more. Most notable, the RTA teams include the eNHPL and NASCARHeat.com logos on the contingency space on each of their NASCAR Cup Series vehicles for a number of NASCAR events. The contingency space is located behind the front tire and in front of the car number, placing the logos in prime sponsorship space on the race car. These logos are clearly visible on the cars during televised race action and are also clearly seen in Victory Lane photos, leading to increased awareness about the eNHPL through this unique promotional channel.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431800</wp:posOffset>
            </wp:positionV>
            <wp:extent cx="5572125" cy="3583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are able to sell directly to consumers through various digital platforms. Our products and content are available for consumers to purchase and download at their convenience directly to their video game console, PC, or mobile device through our platform partners, including Microsoft Corporation (“Microsoft”), Sony Interactive Entertainment Inc. (“Sony”), Apple, Google LLC, Nintendo Co., Ltd. (“Nintendo”), and Steam. In the future, we expect to utilize our proprietary online gaming platform APEX, which is currently under development, to distribute most of our content directly to PC consumers.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physical gaming products are sold primarily through a distribution network with exclusive partners who specialize in the distribution of games, including through mass-market retailers (e.g., Target, Wal-Mart), consumer electronics stores (e.g., Best Buy), discount warehouses, game specialty stores (e.g., GameStop) and other online retail stores (e.g., Amazon). We currently derive, and expect to continue to derive, significant revenues from sales of our products to a very limited number of distribution partners. For the year ended December 31, 2019, we had one distribution partner through which we sold substantially all of our products for the retail market, which represented approximately 40% of our total revenue in 2019.</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Promotional Services Agreement with Fernando Alonso</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July 2020, we also entered into a promotional services agreement with Fernando Alonso, often regarded as one of the greatest Formula 1 drivers in the history of the sport, pursuant to which Mr. Alonso agreed to provide certain promotional services and perform an advisory role for the Company. Subject to the closing of this offering and the satisfaction of certain other closing conditions, at the time of, or as promptly as possible after the closing of this offering, the Company agreed, in reliance on an applicable exemption from the registration requirement under the Securities Act, to issue to Mr. Alonso a number of shares that represents 3% of the issued and outstanding shares of Class A common stock of the Company as of the closing date of this offering. The issuance of such shares is subject to Mr. Alonso providing to the Company customary written investor representations. Mr. Alonso is not obligated to begin performing the services until such shares are issued at the time of, or as promptly as possible after, the closing of this offering. The term of the promotional services agreement is three years. Mr. Alonso can terminate the promotional services agreement for any reason. We can terminate for cause (as such term is defined in the promotional services agreement). In either case of early termination, the remuneration will be prorated subject to the mechanism built-in to control how the shares will be returned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Marketing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Motorsport Games, we believe that our audience is our most valuable asset. Accordingly, in order to maximize revenue and product offerings, we utilize an audience-centric approach, which is the engine that runs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jc w:val="both"/>
        <w:ind w:firstLine="648"/>
        <w:spacing w:after="0" w:line="263" w:lineRule="auto"/>
        <w:rPr>
          <w:sz w:val="20"/>
          <w:szCs w:val="20"/>
          <w:color w:val="auto"/>
        </w:rPr>
      </w:pPr>
      <w:r>
        <w:rPr>
          <w:rFonts w:ascii="Arial" w:cs="Arial" w:eastAsia="Arial" w:hAnsi="Arial"/>
          <w:sz w:val="18"/>
          <w:szCs w:val="18"/>
          <w:color w:val="auto"/>
        </w:rPr>
        <w:t>We start with collecting audience data across all our products, platforms, campaigns, attribution models, and analytics tools. These metrics are then turned into digestible insights. The centralization of this data is critical to our efficiency, as we are able to spend more time analyzing insights than correlating the data.</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success is driven by monitoring audience signals rather than focusing on the creation of customer segments. This allows us to understand three key areas—consumer behavior changes, brand perception, and location in the sales funnel—which in turn allows us to build relationships that people will value instead of simply focusing on the products people may buy.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intend to maximize our bottom line by utilizing this intelligence to personalize messaging, product positioning, and creatives based on user signals and their position in the funnel. This eliminates ad spend waste and increases conversion significantly while simultaneously driving our return on investment.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protect our bottom line, we follow a performance marketing mind set. We set a goal and create personalized content to inspire action by the consumer. We are then able to optimize a campaign based on how the actual results compare to the original goal. Our in-house team then monitors the campaign to re-align and revise it on a constant basis, looking for ways to make our marketing initiatives more efficient.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Licenses and Partnerships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NASCAR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party to a series of license agreements with NASCAR for worldwide rights to use the NASCAR brand. Through our acquisition of 704Games in 2018, we obtained the exclusive right, subject to certain limited exceptions, to use certain licensed rights (including the rights of certain NASCAR teams) to develop, promote, advertise, distribute, manufacture and package simulation-style video game products. In addition, we have the right to conduct and administer esports leagues and events for NASCAR. Our current license arrangement with NASCAR, which was extended 10 years simultaneously with the acquisition of 704Games, expires on December 31, 2029. The license arrangement provides for a commitment by both parties to participate in exclusive negotiations to renew the license, beginning March 1, 2028, and lasting for a period of at least 90 days. The license arrangement also requires us to pay royalties, including certain minimum annual guarantees, on an ongoing basis to NASCAR and to meet certain product distribution, development, marketing and related milestones.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 Mans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15, 2019, we formed Le Mans Esports Series Limited as a joint venture between Motorsport Games and ACO with the primary purpose of carrying on the promotion of and running of an esports event business replicating races of the WEC and the Le Mans race on an electronic gaming platform. Through our 45% ownership interest in this joint venture, we are in the process of obtaining the rights to be the exclusive video game developer and publisher for the Le Mans race and the WEC through a separate license agreement. Once granted, we anticipate this license would expire ten years beginning from the date of our first release of a Le Mans video gaming product. In addition, through this joint venture with ACO, we expect to be granted the right to create and organize esports leagues and events for the Le Mans Esports Series, which would continue so long as we have an ownership interest in this joint venture. This joint venture shall continue until the earlier of the date on which the parties cease to be beneficially entitled in the aggregate to 25% or more of the equity share capital of the joint venture, the parties otherwise cease to control the affairs of the joint venture or the date of the commencement of the winding-up of the joint venture. If certain events of defaults occur, the non-defaulting party has a call option pursuant to which it can force the defaulting party to sell all (but not part) of its ownership in the joint venture in accordance with the joint venture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b w:val="1"/>
          <w:bCs w:val="1"/>
          <w:i w:val="1"/>
          <w:iCs w:val="1"/>
          <w:color w:val="auto"/>
        </w:rPr>
        <w:t>BTCC</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29, 2020, we entered into a license agreement with BARC (TOCA) Limited (“BARC”), the exclusive promoter of the BTCC. Pursuant to the agreement, we were granted an exclusive license to use certain licensed intellectual property for motorsports and/or racing video gaming products related to, themed as, or containing the BTCC, on consoles and mobile applications, esports series and esports events (including our esports platform). In exchange for the license, the agreement requires us to pay BARC an initial fee in two installments, the first of which was due on June 5, 2020 and the second installment of which is due upon the earlier of 60 days after the release of the products contemplated by the license or May 29, 2022. Following the initial fee, the agreement also requires us to pay royalties, including certain minimum annual guarantees, on an ongoing basis to BARC and to meet certain product distribution, marketing and related milestones, subject to termination penalties. The agreement shall remain in effect through December 31, 2026. However, if BARC’s license agreement with Motorsport Games Limited, our UK subsidiary, to promote the BTCC is extended, BARC shall notify us and discussions for an extension of the agreement shall take place no later than March 31, 2026. BARC may terminate early only for cause as defined in the agreement. Upon termination, all outstanding royalty fees become due. Except in the event of termination for breach, a sell off period will begin and continue until the earlier of 180 days from such termination or December 31, 2026.</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RTA</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 2019, we formed the Racing Pro League, LLC as a 50/50 joint venture between our subsidiary 704Games and an affiliate of RTA, with the primary purpose to create, own and operate the eNHPL, a stock car and/or stock truck racing themed, mass market, esports multiplayer competition video gaming league based on the NASCAR Heat video game series, pursuant to the terms and conditions of existing license agreements with NASCAR (for so long as they are in effect). As part of this joint venture, 704Games manages day-to-day operations of the eNHPL and RTA provides certain intellectual property rights from RTA teams and supports the promotion of eNHPL events through their individual team social and digital platforms, team/sponsor websites, digital promotions, content with specific eNHPL drivers, integration with existing partners and more. This joint venture shall continue until dissolved by the approval of the board of Racing Pro League, LLC and each of 704Games and RTA, as members, or as required by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Console Manufacturers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terms of agreements we have entered into with Sony and its affiliates and with Microsoft and its affiliates, we are authorized to develop and distribute disc-based and digitally-delivered software products and services compatible with PlayStation and Xbox consoles, respectively. Under these agreements with Sony and Microsoft, we have the non-exclusive right to use, for the specified term and in a designated territory, technology that is owned or licensed by them to publish our games on their respective consoles. With respect to our digitally-delivered products and services, the console manufacturers pay us either a wholesale price or a royalty percentage on the revenue they derive from their sales of our products and services. Our transactions for packaged goods products are made pursuant to individual purchase orders, which are accepted on a case-by case basis by Sony or Microsoft (or their designated replicators), as the case may be. For packaged goods products, we pay the console manufacturers a per-unit royalty for each unit manufactured. Many key commercial terms of our relationships with Sony and Microsoft, such as manufacturing terms, delivery times, policies and approval conditions, are determined unilaterally, and are subject to change by the console manufacturers.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license agreements also require us to indemnify the console manufacturers for any loss, liability and expense resulting from any claim against the console manufacturer regarding our games and services, including any claims for patent, copyright or trademark infringement brought against the console manufacturer. Each license may be terminated by the console manufacturer or shall terminate if a breach or default by us is not cured after we receive written notice from the console manufacturer, or if we become insolvent. The console manufacturers are not obligated to enter into license agreements with us for any future consoles, products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Support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develop and produce our titles using a model in which a group of creative, technical, and production professionals, including designers, producers, programmers, artists, sound engineers, and others in coordination with our marketing, finance, analytics, sales, and other professionals, has responsibility for the entire development and production process, including the supervision and coordination of, where appropriate, external resources. We believe this model allows us to deploy the best resources for a given task, by supplementing our internal expertise with top-quality external resources on an as-needed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jc w:val="both"/>
        <w:ind w:firstLine="648"/>
        <w:spacing w:after="0" w:line="263" w:lineRule="auto"/>
        <w:rPr>
          <w:sz w:val="20"/>
          <w:szCs w:val="20"/>
          <w:color w:val="auto"/>
        </w:rPr>
      </w:pPr>
      <w:r>
        <w:rPr>
          <w:rFonts w:ascii="Arial" w:cs="Arial" w:eastAsia="Arial" w:hAnsi="Arial"/>
          <w:sz w:val="18"/>
          <w:szCs w:val="18"/>
          <w:color w:val="auto"/>
        </w:rPr>
        <w:t>In addition to our experienced development team consisting of over 50 employees, we rely on third-party software developers for the partial development of our titles. From time to time, we also acquire the license rights to publish and/or distribute software products that are, or will be, independently created by third-party developers.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provide various forms of product support.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to minimize the number of bugs and other defects found in the products. To support our content, we generally provide rapid game support to players through various means, primarily online through our social media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marketing support; and quality of customer service.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specifically compete with other publishers of virtual racing video games for console, PC, and mobile entertainment, including Codemasters and other major video game publishers and esports companies. In addition to third-party software competitors, integrated video game console hardware and software companies, such as Microsoft, Sony, and Nintendo, compete directly with us in the development of game titles for their respective platforms, including titles in the motorsport racing genre, even though they generally cannot create branded NASCAR, Le Mans or BTCC games for which we hold, or expect to hold, exclusive licenses, subject to certain limited exceptions. A number of software publishers have developed and commercialized, or are currently developing, online games for use by consumers, and we must compete with them for our audience base.</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 broad sense, we compete for the leisure time and discretionary spending of consumers with other interactive entertainment companies, as well as with providers of different forms of entertainment, such as film, television, social networking, music and other consumer products.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in Our Business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we have seen a high degree of seasonality in our business and financial results due to the introduction of seasonal video game updates. We generally aim to synchronize these yearly video game updates with the start of the new racing season and race calendars. Overall, our sales volumes are strongest around the time we launch our new products and also tend to be stronger at the start of the NASCAR racing season. We expect similar patterns for new racing series we are or may be in the process of developing and publishing in the future. We have also historically experienced a higher demand for our games during our fourth calendar quarter due to seasonal holiday demand.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currently operate as a Florida limited liability company under the name Motorsport Gaming US LLC. Prior to the closing of this offering, Motorsport Gaming US LLC will convert into a Delaware corporation pursuant to a statutory conversion and change its name to Motorsport Games Inc. In order to consummate the corporate conversion, a certificate of conversion will be filed with the Secretary of State of the State of Delaware.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jc w:val="both"/>
        <w:ind w:firstLine="648"/>
        <w:spacing w:after="0" w:line="291" w:lineRule="auto"/>
        <w:rPr>
          <w:sz w:val="20"/>
          <w:szCs w:val="20"/>
          <w:color w:val="auto"/>
        </w:rPr>
      </w:pPr>
      <w:r>
        <w:rPr>
          <w:rFonts w:ascii="Arial" w:cs="Arial" w:eastAsia="Arial" w:hAnsi="Arial"/>
          <w:sz w:val="16"/>
          <w:szCs w:val="16"/>
          <w:color w:val="auto"/>
        </w:rPr>
        <w:t>Following and effective upon the consummation of the corporate conversion, 100% of the membership interests currently held by the Company’s sole member, Motorsport Network, will convert into an aggregate of (i) shares of Class A common stock, based upon the value of the Company at the</w:t>
      </w:r>
    </w:p>
    <w:p>
      <w:pPr>
        <w:jc w:val="both"/>
        <w:spacing w:after="0" w:line="268" w:lineRule="auto"/>
        <w:rPr>
          <w:sz w:val="20"/>
          <w:szCs w:val="20"/>
          <w:color w:val="auto"/>
        </w:rPr>
      </w:pPr>
      <w:r>
        <w:rPr>
          <w:rFonts w:ascii="Arial" w:cs="Arial" w:eastAsia="Arial" w:hAnsi="Arial"/>
          <w:sz w:val="17"/>
          <w:szCs w:val="17"/>
          <w:color w:val="auto"/>
        </w:rPr>
        <w:t>time of this offering with a value implied by the offering price of the shares of Class A common stock sold in this offering, and (ii) shares of Class B common stock, representing all of the outstanding shares of Class B common stock. Motorsport Network will be the only holder of shares of our Class B common stock and will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 Motorsport Network will be adjusted in equal proportions for any stock dividend, stock split or similar transaction undertaken by the Company.</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corporate conversion, Motorsport Games Inc. will hold all property and assets of Motorsport Gaming US LLC, and all of the debts and obligations of Motorsport Gaming US LLC will become the debts and obligations of Motorsport Games Inc. by operation of law. Motorsport Games Inc. will be governed by a certificate of incorporation filed with the Delaware Secretary of State and bylaws, the material portions of each of which are described under the heading “Description of Capital Stock.”</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the effective date of the corporate conversion, the members of the board of managers of Motorsport Gaming US LLC will become the members of Motorsport Games Inc.’s board of directors and the officers of Motorsport Gaming US LLC will become the officers of Motorsport Games Inc.</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the corporate conversion is to reorganize our corporate structure so that the entity that is offering the Class A common stock to the offerees in this offering is a corporation rather than a limited liability company and so that our existing investor, Motorsport Network, will own our Class A common stock and our Class B common stock rather than membership interests in a limited liability company. References in this prospectus to our capitalization and other matters pertaining to our equity, membership interests or shares prior to the corporate conversion relate to the capitalization, equity and membership interests of Motorsport Gaming US LLC, and after the corporate conversion, to the capitalization, equity and shares of Motorsport Games Inc.</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consolidated financial statements included elsewhere in this prospectus are those of Motorsport Gaming US LLC and its subsidiaries. We expect that our conversion from a Florida limited liability company to a Delaware corporation will not have a material effect on our consolidated financial statements at the time of the corporate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depicts our expected organizational structure upon completion of this offering and the corporate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151765</wp:posOffset>
            </wp:positionV>
            <wp:extent cx="5400675" cy="3111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0067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jc w:val="both"/>
        <w:ind w:firstLine="648"/>
        <w:spacing w:after="0" w:line="296" w:lineRule="auto"/>
        <w:rPr>
          <w:sz w:val="20"/>
          <w:szCs w:val="20"/>
          <w:color w:val="auto"/>
        </w:rPr>
      </w:pPr>
      <w:r>
        <w:rPr>
          <w:rFonts w:ascii="Arial" w:cs="Arial" w:eastAsia="Arial" w:hAnsi="Arial"/>
          <w:sz w:val="16"/>
          <w:szCs w:val="16"/>
          <w:color w:val="auto"/>
        </w:rPr>
        <w:t>Motorsport Games Inc. is a Delaware corporation, which will be converted from a Florida limited liability company prior to the closing of this offering as discussed above under “—Corporate Conversion.” Motorsport Games Inc. will serve as a holding company for a direct 79.7% interest in 704Games, 45% interest in Le Mans Esports Series Limited, and 100% ownership in MS Gaming Development LLC and Motorsport Games Limited. Our license agreements for the BTCC racing series are currently held through Motorsport Gaming US LLC. The Company is not engaged in any business or other activities other than in connection with its ownership interest of the four above-stated companies. The Company is based in Miami, Florida, USA.</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704Games was formerly known as Dusenberry Martin Racing and changed its name to 704Games Company on February 28, 2017. 704Games was founded in January 2015 and is based in Charlotte, North Carolina. Motorsport Gaming US LLC acquired a controlling interest in 704Games pursuant to a Stock Purchase Agreement dated August 14, 2018. Our ownership interest in 704Games was increased to 79.7% from 53.5% in August 2020. Our license agreements with NASCAR are held through 704Games.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Racing Pro League, LLC is a U.S.-based joint venture formed on March 1, 2019 between 704Games and RTA Promotions, LLC, an affiliate of RTA, to develop the eNHPL. Currently, 704Games owns 50% of the equity interests of such joint venture.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Le Mans Esports Series Limited is a UK-based company incorporated on March 5, 2019 in connection with forming a joint venture with ACO, the organizer of the 24 Hours of Le Mans endurance race. Through this joint venture, we are in the process of obtaining the rights to be the exclusive video game developer and publisher for the Le Mans race and the WEC. Le Mans Esports Series Limited is based in Towcester, United Kingdom.</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MS Gaming Development LLC is a Russia-based limited liability company registered on April 10, 2019 that holds a majority of our software and game development capabilities. MS Gaming Development LLC is based in Moscow, Russian Federation.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Motorsport Games Limited is a UK-based limited liability company based in Silverstone, United Kingdom that was incorporated in February 2020 and is a leading esports event organizer in the United Kingdom and internationally.</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Upon completion of this offering, we will continue to be controlled by Motorsport Network, which will indirectly own approximately % of the voting interest in us (or approximately % if the underwriters exercise in full their option to purchase additional shares of our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relies on our ability to attract and retain the right team to enable us to be a leading game developer, publisher and esports ecosystem provider of official motorsport racing series throughout the world. We invest heavily in hiring and retaining talented people, particularly as we grow our business. Our headcount as of July 30, 2020 was 69 full-time employees including 51 game developers located in the United States, the United Kingdom and the Russian Federation, none of which were covered by collective bargaining agreements. We believe that relations with our employees are generally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various federal, state and international laws and regulations that affect companies conducting business on the Internet and mobile platforms, including those relating to privacy, use and protection of player and employee personal information and data (including the collection of data from minors), the Internet, behavioral tracking, mobile applications, content, advertising and marketing activities (including sweepstakes, contests and giveaways), and anti-corruption.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players, and deliver products and services, and may significantly increase our compliance costs. As our business expands to include new uses or collection of data that are subject to privacy or security regulations, our compliance requirements and costs will increase, and we may be subject to increased regulatory scrutiny.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corporate headquarters is located in Miami, Florida and consists of approximately 2,000 square feet of space under a lease that expires in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lease offices in Orlando, Florida, Charlotte, North Carolina and Moscow, Russia. We believe that we will be able to obtain additional space, as needed, on commercially reasonable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business is based on the creation, acquisition, use and protection of intellectual property. Some of this intellectual property is in the form of software code, trademarks and copyrights, and trade secrets that we use to develop our games and to enable them to run properly on multiple platforms. Other intellectual property we create includes audio-visual elements, including graphics, music and interface design.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most of the intellectual property we use is created by us, we have acquired rights to proprietary intellectual property. We have also obtained rights to use intellectual property through licenses and service agreements with third parties. These agreements typically limit our use of intellectual property to specific uses and for specific time periods.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protect our intellectual property rights by relying on federal, state and common law rights, as well as contractual restrictions. We control access to our proprietary technology by entering into confidentiality and invention assignment agreements with our employees and contractors, and nondisclosure agreements with third parties. We also actively engage in monitoring and enforcement activities with respect to infringing uses of our intellectual property by third parties.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these contractual arrangements, we also rely on a combination of trade secret, copyright, trademark, trade dress and domain names to protect our games and other intellectual property. We typically own the copyright to the software code to our content, as well as the brand or title name trademark under which our games are marketed. We pursue the registration of our domain names, trademarks, and service marks in the United States and in certain locations outside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date hereof, we are not a party to any material legal or administrative proceedings. There are no proceedings in which any of our directors, executive officers or affiliates, or any registered or beneficial stockholder, is an adverse party or has a material interest adverse to our interest.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60" w:type="dxa"/>
            <w:vAlign w:val="bottom"/>
            <w:gridSpan w:val="2"/>
          </w:tcPr>
          <w:p>
            <w:pPr>
              <w:ind w:left="1700"/>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Age</w:t>
            </w:r>
          </w:p>
        </w:tc>
        <w:tc>
          <w:tcPr>
            <w:tcW w:w="5840" w:type="dxa"/>
            <w:vAlign w:val="bottom"/>
          </w:tcPr>
          <w:p>
            <w:pPr>
              <w:ind w:left="262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3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40" w:type="dxa"/>
            <w:vAlign w:val="bottom"/>
            <w:tcBorders>
              <w:top w:val="single" w:sz="8" w:color="auto"/>
            </w:tcBorders>
          </w:tcPr>
          <w:p>
            <w:pPr>
              <w:spacing w:after="0"/>
              <w:rPr>
                <w:sz w:val="17"/>
                <w:szCs w:val="17"/>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Dmitry Kozko</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Chief Executive Officer and Executive Chairman</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Stephen Hood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Jonathan New</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418"/>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Neil Anderson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2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Francesco Piovanetti</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arrangement or understanding between the persons described above and any other person pursuant to which the person was selected to his or her office or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Dmitry Kozko, Chief Executive Officer. </w:t>
      </w:r>
      <w:r>
        <w:rPr>
          <w:rFonts w:ascii="Arial" w:cs="Arial" w:eastAsia="Arial" w:hAnsi="Arial"/>
          <w:sz w:val="16"/>
          <w:szCs w:val="16"/>
          <w:color w:val="auto"/>
        </w:rPr>
        <w:t>Mr. Kozko has served as our Chief Executive Officer since January 2020 and has served as Executive</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Chairman since . A technology entrepreneur and author of more than two dozen patents, Mr. Kozko joined Motorsport Games from its parent company, Motorsport Network in January 2020, having held the positions of Senior VP of Operations and then COO at Motorsport Network since November 2018. Prior to joining Motorsport Network in January 2018, Mr. Kozko was the CEO of Ultracast, a live 360˚ video and virtual reality platform, and President of IC Realtime, a digital surveillance manufacturer, from February 2014 to November 2018. Mr. Kozko still currently serves as a member of the board of IC Realtime. Mr. Kozko formerly served as the President and Director of Net Element, Inc. (Nasdaq: NETE), a global technology and value-added solutions group that supports electronic payments acceptance in a multi-channel environment, from December 2010 until February 2014 after taking Net Element public and completing the acquisition and integration of Unified Payments, a provider of transaction processing services and payment enabling technologies that was recognized by Inc. Magazine as the fastest growing private company in the United States in 2012. We believe that Mr. Kozko is qualified to serve on our board of directors because of his extensive leadership and technology experience.</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Stephen Hood, President. </w:t>
      </w:r>
      <w:r>
        <w:rPr>
          <w:rFonts w:ascii="Arial" w:cs="Arial" w:eastAsia="Arial" w:hAnsi="Arial"/>
          <w:sz w:val="16"/>
          <w:szCs w:val="16"/>
          <w:color w:val="auto"/>
        </w:rPr>
        <w:t>Mr. Hood has served as our President since April 2019. Mr. Hood has also served as President of Motorsport Games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our UK subsidiary, since February 2020 and as a director of 704Games since September 2018. Previously, Mr. Hood served as Head of Esports for Autosport Media UK Limited, a subsidiary of Motorsport Network, from July 2018 to March 2019. Prior to joining Motorsport Network, Mr. Hood served as Executive Producer at Dovetail Games, a UK-based producer of digital hobbies, from September 2016 to May 2018 and as a Creative Director from December 2014 to September 2016. Mr. Hood was employed at Codemasters, a British video game developer and publisher, as Creative Director from November 2011 to December 2013 and as Chief Game Designer from March 2009 to November 2011. Prior to that, Mr. Hood was Design Manager at Ideaworks Game Studio, a British video game developer, from August 2006 to October 2008 and a Senior Designer at renowned British developer Lionhead Studios Limited from 2004 to 2006. He also has held various positions as Design Director and Design Manager with other video game producers. Mr. Hood is a BAFTA award winning developer (Best Simulation, The Movies and Best Sports Game, Formula One 2010) with particular expertise in building creative teams and designing and managing the development of complex video game projects and services.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6"/>
          <w:szCs w:val="16"/>
          <w:b w:val="1"/>
          <w:bCs w:val="1"/>
          <w:i w:val="1"/>
          <w:iCs w:val="1"/>
          <w:color w:val="auto"/>
        </w:rPr>
        <w:t xml:space="preserve">Jonathan New, Chief Financial Officer. </w:t>
      </w:r>
      <w:r>
        <w:rPr>
          <w:rFonts w:ascii="Arial" w:cs="Arial" w:eastAsia="Arial" w:hAnsi="Arial"/>
          <w:sz w:val="16"/>
          <w:szCs w:val="16"/>
          <w:color w:val="auto"/>
        </w:rPr>
        <w:t>Jonathan New has served as our Chief Financial Officer since January 2020 and has served as a member</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of our board of directors since . Prior to joining the Company, Mr. New was Chief Financial Officer of Blink Charging Co. (Nasdaq: BLNK), an owner, operator and provider of electric vehicle charging equipment and networked electric vehicle charging services, from July 2018 to January 2020. Prior to Blink Charging Co., Mr. New was Chief Financial of Net Element, Inc. (Nasdaq: NETE), a global technology and value-added solutions group that supports electronic payments acceptance in a multi-channel environment, from 2008 to July, 2018. He has a career of leading rapidly growing businesses through levels of increasing success, with experience in directing strategies in accounting, operations, financial planning and analysis, information technology, human resources, mergers and acquisitions (“M&amp;A”), taxation and investor relations. Mr. New obtained his BS in Accounting from Florida State University and began his career with Accenture. He is a member of the Florida Institute of Certified Public Accountants and the American Institute of Certified Public Accountants. We believe that Mr. New is qualified to serve on our board of directors because of his extensive finance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Neil Anderson </w:t>
      </w:r>
      <w:r>
        <w:rPr>
          <w:rFonts w:ascii="Arial" w:cs="Arial" w:eastAsia="Arial" w:hAnsi="Arial"/>
          <w:sz w:val="18"/>
          <w:szCs w:val="18"/>
          <w:color w:val="auto"/>
        </w:rPr>
        <w:t>has served as a member of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Anderson previously practiced as an attorney with the law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Sullivan &amp; Cromwell LLP from 1971 to 2013. Mr. Anderson was a partner at Sullivan &amp; Cromwell from 1979 to 2008 and of counsel to the firm from 2009 to 2013. During the period he was a partner, Mr. Anderson was actively involved in corporate matters, focusing primarily on M&amp;A transactions, both domestically and internationally. Between 2000 and 2002, Mr. Anderson served as the head of Sullivan &amp; Cromwell’s M&amp;A practice in Europe, resident in the firm’s London office. Mr. Anderson has been a frequent speaker and faculty member on professional seminars and programs dealing with M&amp;A and related matters. Mr. Anderson holds a J.D. and an A.B. from Columbia University. We believe that Mr. Anderson is qualified to serve on our board of directors because of his extensive legal and M&amp;A experience.</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Francesco Piovanetti </w:t>
      </w:r>
      <w:r>
        <w:rPr>
          <w:rFonts w:ascii="Arial" w:cs="Arial" w:eastAsia="Arial" w:hAnsi="Arial"/>
          <w:sz w:val="17"/>
          <w:szCs w:val="17"/>
          <w:color w:val="auto"/>
        </w:rPr>
        <w:t>has served as a member of our board of directors since . Mr. Francesco Piovanetti is the Chief Executive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both Arco Capital Corporation, Ltd., a provider of financial investment services, and Arco Global Management LLC, an investment management and consulting firm. He has served in various Arco roles since 2006. Mr. Piovanetti has more than twenty-five years of experience working in various areas of asset management, emerging markets, real estate, corporate finance, capital markets and investment banking. Mr. Piovanetti served as the Chief Executive Officer and Chief Financial Officer of Cazador Acquisition Corp. Ltd. (formerly Nasdaq: CAZA) from April 2010 to June 2012. From 2003 to 2006, he served as a Managing Director at an alternative asset management firm. From 1997 to 2003, he was employed as an Analyst and later as an Associate, a Vice President and then as a Director at Deutsche Bank in its Structured Capital Markets Group, which executed proprietary and client arbitrage transactions. From 1995 to 1997, he served as Senior Analyst in Deloitte &amp; Touche LLP’s Corporate Finance Group where he consulted in the areas of commercial lending, M&amp;A, management buyouts, capital sourcing and valuation services. Mr. Piovanetti received a B.A. in Economics and a B.S. in Finance from Bryant University, and an M.B.A. in Finance from Columbia Business School. We believe that Mr. Piovanetti is qualified to serve on our board of directors because of his extensive finance experience.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the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Upon the closing of this offering, our board of directors will consist of five members. In accordance with our certificate of incorporation that will be in effect upon completion of this offering, immediately after this offering, our board of directors will be divided into two classes with staggered two-year terms. Subject to the rights of the holders of any series of our preferred stock then outstanding, each director will serve for a term ending on the date of the second annual meeting of stockholders following the annual meeting of stockholders at which such director was elected; provided that each director initially assigned to Class I will serve for a term expiring at our first annual meeting of stockholders held after our certificate of incorporation becomes effective upon completion of this offering. Each director initially assigned to Class II shall serve for a term expiring at our second annual meeting of stockholders held after the effectiveness of our certificate of incorporation upon completion of this offering. The term of each director will continue until the election and qualification of his or her successor and be subject to his or her earlier death, disqualification, resignation or removal.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of this offering, our directors will be divided among the two classes as follows:</w:t>
      </w:r>
    </w:p>
    <w:p>
      <w:pPr>
        <w:sectPr>
          <w:pgSz w:w="11900" w:h="16838" w:orient="portrait"/>
          <w:cols w:equalWidth="0" w:num="1">
            <w:col w:w="11240"/>
          </w:cols>
          <w:pgMar w:left="320" w:top="665" w:right="339" w:bottom="1440" w:gutter="0" w:footer="0" w:header="0"/>
        </w:sectPr>
      </w:pPr>
    </w:p>
    <w:p>
      <w:pPr>
        <w:spacing w:after="0" w:line="225" w:lineRule="exact"/>
        <w:rPr>
          <w:sz w:val="20"/>
          <w:szCs w:val="20"/>
          <w:color w:val="auto"/>
        </w:rPr>
      </w:pPr>
    </w:p>
    <w:p>
      <w:pPr>
        <w:ind w:left="660"/>
        <w:spacing w:after="0"/>
        <w:tabs>
          <w:tab w:leader="none" w:pos="960" w:val="left"/>
          <w:tab w:leader="none" w:pos="3640" w:val="left"/>
        </w:tabs>
        <w:rPr>
          <w:sz w:val="20"/>
          <w:szCs w:val="20"/>
          <w:color w:val="auto"/>
        </w:rPr>
      </w:pPr>
      <w:r>
        <w:rPr>
          <w:rFonts w:ascii="Arial" w:cs="Arial" w:eastAsia="Arial" w:hAnsi="Arial"/>
          <w:sz w:val="18"/>
          <w:szCs w:val="18"/>
          <w:color w:val="auto"/>
        </w:rPr>
        <w:t>●</w:t>
        <w:tab/>
        <w:t>the Class I directors will be</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completion of this offering; and</w:t>
      </w:r>
    </w:p>
    <w:p>
      <w:pPr>
        <w:spacing w:after="0" w:line="9" w:lineRule="exact"/>
        <w:rPr>
          <w:sz w:val="20"/>
          <w:szCs w:val="20"/>
          <w:color w:val="auto"/>
        </w:rPr>
      </w:pPr>
    </w:p>
    <w:p>
      <w:pPr>
        <w:ind w:left="660"/>
        <w:spacing w:after="0"/>
        <w:tabs>
          <w:tab w:leader="none" w:pos="960" w:val="left"/>
          <w:tab w:leader="none" w:pos="3760" w:val="left"/>
        </w:tabs>
        <w:rPr>
          <w:sz w:val="20"/>
          <w:szCs w:val="20"/>
          <w:color w:val="auto"/>
        </w:rPr>
      </w:pPr>
      <w:r>
        <w:rPr>
          <w:rFonts w:ascii="Arial" w:cs="Arial" w:eastAsia="Arial" w:hAnsi="Arial"/>
          <w:sz w:val="18"/>
          <w:szCs w:val="18"/>
          <w:color w:val="auto"/>
        </w:rPr>
        <w:t>●</w:t>
        <w:tab/>
        <w:t>the Class II directors will be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whose terms will expire at the first annual meeting of stockholders to be held following the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 whose terms will expire at the second annual meeting of stockholders to be held</w:t>
      </w:r>
    </w:p>
    <w:p>
      <w:pPr>
        <w:spacing w:after="0" w:line="46" w:lineRule="exact"/>
        <w:rPr>
          <w:sz w:val="20"/>
          <w:szCs w:val="20"/>
          <w:color w:val="auto"/>
        </w:rPr>
      </w:pPr>
    </w:p>
    <w:p>
      <w:pPr>
        <w:sectPr>
          <w:pgSz w:w="11900" w:h="16838" w:orient="portrait"/>
          <w:cols w:equalWidth="0" w:num="2">
            <w:col w:w="3920" w:space="480"/>
            <w:col w:w="6840"/>
          </w:cols>
          <w:pgMar w:left="320" w:top="665" w:right="339" w:bottom="1440" w:gutter="0" w:footer="0" w:header="0"/>
          <w:type w:val="continuous"/>
        </w:sectPr>
      </w:pPr>
    </w:p>
    <w:p>
      <w:pPr>
        <w:ind w:left="980"/>
        <w:spacing w:after="0"/>
        <w:rPr>
          <w:sz w:val="20"/>
          <w:szCs w:val="20"/>
          <w:color w:val="auto"/>
        </w:rPr>
      </w:pPr>
      <w:r>
        <w:rPr>
          <w:rFonts w:ascii="Arial" w:cs="Arial" w:eastAsia="Arial" w:hAnsi="Arial"/>
          <w:sz w:val="18"/>
          <w:szCs w:val="18"/>
          <w:color w:val="auto"/>
        </w:rPr>
        <w:t>following the completion of this offering.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90" w:name="page91"/>
    <w:bookmarkEnd w:id="90"/>
    <w:p>
      <w:pPr>
        <w:jc w:val="both"/>
        <w:ind w:firstLine="648"/>
        <w:spacing w:after="0" w:line="259"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We expect that any additional directorships resulting from an increase in the number of directors will be distributed among the two classes so that, as nearly as possible, each class will consist of approximately one half of the directors. The division of our board of directors into two classes with staggered two-year terms may delay or prevent a change of our management or a change in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 under the Nasdaq Listing Rules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completion of this offering, Motorsport Network will continue to control a majority of the voting power of our outstanding common stock. As a result, we will be a “controlled company” within the meaning of the Nasdaq Listing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187"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with a written charter addressing the committee’s purpose and responsibilities;</w:t>
      </w:r>
    </w:p>
    <w:p>
      <w:pPr>
        <w:ind w:left="980" w:right="20" w:hanging="324"/>
        <w:spacing w:after="0" w:line="250"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 and</w:t>
      </w: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our corporate governance and compensation committees.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will not have the same protections afforded to stockholders of companies that are subject to all of the Nasdaq rules regarding 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w:t>
      </w:r>
    </w:p>
    <w:p>
      <w:pPr>
        <w:jc w:val="both"/>
        <w:spacing w:after="0" w:line="271" w:lineRule="auto"/>
        <w:rPr>
          <w:sz w:val="20"/>
          <w:szCs w:val="20"/>
          <w:color w:val="auto"/>
        </w:rPr>
      </w:pPr>
      <w:r>
        <w:rPr>
          <w:rFonts w:ascii="Arial" w:cs="Arial" w:eastAsia="Arial" w:hAnsi="Arial"/>
          <w:sz w:val="17"/>
          <w:szCs w:val="17"/>
          <w:color w:val="auto"/>
        </w:rPr>
        <w:t>our board of directors has determined that Messrs. , and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has established three standing committees: an audit committee, a compensation committee and a nominating and governance committee, each of which will have the composition and responsibilities described below as of the completion of this offering. Following the closing of this offering, each committee’s charter will be posted on the investor relations section of our website. Members serve on these committees until their resignation or until otherwise determined by our board of directors. Our board of directors may establish other committees as it deems necessary or appropriate from time to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audit committee will consist of , and , each of whom, our board of directors has determined, satisfies the independence requirements under the Nasdaq Listing Rules and Rule 10A-3 of the Exchange Act. The chair of our audit committee is , whom our board of</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directors has determined is an “audit committee financial expert” within the meaning of SEC regulations. Each member of our audit committee can read and understand fundamental financial statements in accordance with applicable requirements.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the audit committee will be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will include:</w:t>
      </w:r>
    </w:p>
    <w:p>
      <w:pPr>
        <w:spacing w:after="0" w:line="184"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discussing with management all press releases regarding our financial results and any other information provided to securities analysts and rating agencies, including any non-GAAP financial information;</w:t>
      </w:r>
    </w:p>
    <w:p>
      <w:pPr>
        <w:ind w:left="98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ind w:left="98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any related-party transactions, after reviewing each such transaction for potential conflicts of interests and other improprieties;</w:t>
      </w:r>
    </w:p>
    <w:p>
      <w:pPr>
        <w:ind w:left="980" w:hanging="324"/>
        <w:spacing w:after="0" w:line="281"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spacing w:after="0" w:line="1"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ind w:left="98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considering and presenting, jointly with our nominating and corporate governance committee, to the board of directors for adoption a code of business conduct and ethics for all employees and directors; and</w:t>
      </w:r>
    </w:p>
    <w:p>
      <w:pPr>
        <w:ind w:left="980" w:right="20" w:hanging="324"/>
        <w:spacing w:after="0" w:line="26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investigating conduct alleged by the board of directors to be in violation of our code of business conduct and ethics, and adopting as necessary or appropriate, remedial, disciplinary, or other measures with respect to such conduct.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Nasdaq listing standards.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7"/>
          <w:szCs w:val="17"/>
          <w:color w:val="auto"/>
        </w:rPr>
        <w:t>Our compensation committee will consist of and , each of whom, our board of directors has determined, is independent under the Nasdaq Listing Rules and is a “non-employee director” as defined in Rule 16b-3 promulgated under the Exchange Act. The chair of our compensation</w:t>
      </w:r>
    </w:p>
    <w:p>
      <w:pPr>
        <w:spacing w:after="0"/>
        <w:tabs>
          <w:tab w:leader="none" w:pos="1880" w:val="left"/>
        </w:tabs>
        <w:rPr>
          <w:sz w:val="20"/>
          <w:szCs w:val="20"/>
          <w:color w:val="auto"/>
        </w:rPr>
      </w:pPr>
      <w:r>
        <w:rPr>
          <w:rFonts w:ascii="Arial" w:cs="Arial" w:eastAsia="Arial" w:hAnsi="Arial"/>
          <w:sz w:val="18"/>
          <w:szCs w:val="18"/>
          <w:color w:val="auto"/>
        </w:rPr>
        <w:t>committee will be</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our compensation committee will be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will include:</w:t>
      </w:r>
    </w:p>
    <w:p>
      <w:pPr>
        <w:spacing w:after="0" w:line="184" w:lineRule="exact"/>
        <w:rPr>
          <w:sz w:val="20"/>
          <w:szCs w:val="20"/>
          <w:color w:val="auto"/>
        </w:rPr>
      </w:pPr>
    </w:p>
    <w:p>
      <w:pPr>
        <w:ind w:left="980" w:right="20" w:hanging="324"/>
        <w:spacing w:after="0" w:line="258"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advising the board of directors concerning our overall compensation, philosophy, policies and plans, including reviewing both regional and industry compensation practices and trends;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determining any peer group used for executive compensation comparison purposes;</w:t>
      </w:r>
    </w:p>
    <w:p>
      <w:pPr>
        <w:spacing w:after="0" w:line="9"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corporate and personal performance goals and objectives relevant to the compensation of all executive officer executive officers, and making recommendations to the board of directors regarding all executive officer executive compensation (including but not limited to salary, bonus, incentive compensation, equity awards, benefits and perquisites);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ind w:left="980" w:hanging="324"/>
        <w:spacing w:after="0" w:line="291"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ind w:left="980" w:hanging="324"/>
        <w:spacing w:after="0" w:line="250"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discussing with management the disclosures regarding executive compensation to be included in our public filings or shareholder reports;</w:t>
      </w: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paid to our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succession planning for executive officers jointly with our nominating and corporate governance committee;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key strategic human resource activities, including those relating to diversity, training and recruitment.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Nasdaq listing standards.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nominating and governance committee will consist of and , each of whom, our board of directors has determined, is independent under the Nasdaq Listing Rules. The chair of our nominating and governance committee will be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225" w:lineRule="exact"/>
        <w:rPr>
          <w:sz w:val="20"/>
          <w:szCs w:val="20"/>
          <w:color w:val="auto"/>
        </w:rPr>
      </w:pPr>
    </w:p>
    <w:p>
      <w:pPr>
        <w:jc w:val="both"/>
        <w:ind w:left="980" w:hanging="324"/>
        <w:spacing w:after="0" w:line="287"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evaluating and selecting, or recommending to our board of directors nominees for each election of directors, except that if we are at any time legally required by contract or otherwise to provide any third party with the ability to nominate a director, our nominating and governance committee need not evaluate or propose such nomination, unless required by contract or requested by our board of directors;</w:t>
      </w:r>
    </w:p>
    <w:p>
      <w:pPr>
        <w:spacing w:after="0" w:line="2" w:lineRule="exact"/>
        <w:rPr>
          <w:rFonts w:ascii="Arial" w:cs="Arial" w:eastAsia="Arial" w:hAnsi="Arial"/>
          <w:sz w:val="16"/>
          <w:szCs w:val="16"/>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determining criteria for selecting new directors, including desired board skills, experience and attributes;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considering any nominations of director candidates validly made by our stockholders;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concerning qualifications, appointment and removal of committee members;</w:t>
      </w:r>
    </w:p>
    <w:p>
      <w:pPr>
        <w:jc w:val="both"/>
        <w:ind w:left="980" w:hanging="324"/>
        <w:spacing w:after="0" w:line="250"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developing, recommending for approval by our board of directors and reviewing on an ongoing basis the adequacy of the corporate governance principles applicable to us, including, but not limited to, director qualification standards, director responsibilities, committee responsibilities, director access to management and independent advisors, director compensation, director orientation and continuing education, management succession and annual performance evaluation;</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considering and presenting, jointly with our audit committee, to the board of directors for adoption a code of business conduct and ethics;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changes to our bylaws as needed;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developing orientation materials for new directors and corporate governance-related continuing education for all directors;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overseeing succession planning for executive officers jointly with our compensation committee.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Nasdaq listing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this offering, we intend to adopt a written code of business conduct and ethics. Our code of business conduct and ethics is intended to document the principles of conduct and ethics to be followed by all of our directors, officers and employees. Its purpose is to promote honest and ethical conduct, including the ethical handling of actual or apparent conflicts of interest. Following the closing of this offering, the full text of our code of business conduct and ethics will be posted on the investor relations section of our website. We intend to disclose future amendments to certain provisions of our code of business conduct and ethics, or waivers of these provisions, on our website or in filings under the Exchange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opted to comply with the executive compensation disclosure rules applicable to “smaller reporting companies,” as such term is defined in the rules promulgated under the Securities Act. In accordance with these rules, we had one “named executed officer” for fiscal year 2019, which was Stephen Hood, who served as our President. Dmitry Kozko, our current Chief Executive Officer, and Jonathan New, our current Chief Financial Officer, were appointed to their respective positions with the Company in January 2020.</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and arrangements summarized in this discussion, including the terms of the Motorsport Games Inc. 2020 Equity Incentive Plan, referred to below as the 2020 Plan, which we expect will become effective immediately prior to the consummation of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 for the fiscal years indicated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710"/>
              <w:spacing w:after="0"/>
              <w:rPr>
                <w:sz w:val="20"/>
                <w:szCs w:val="20"/>
                <w:color w:val="auto"/>
              </w:rPr>
            </w:pPr>
            <w:r>
              <w:rPr>
                <w:rFonts w:ascii="Arial" w:cs="Arial" w:eastAsia="Arial" w:hAnsi="Arial"/>
                <w:sz w:val="18"/>
                <w:szCs w:val="18"/>
                <w:b w:val="1"/>
                <w:bCs w:val="1"/>
                <w:color w:val="auto"/>
                <w:w w:val="97"/>
              </w:rPr>
              <w:t>All Other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0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Name and Principal Position</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Salary</w:t>
            </w:r>
          </w:p>
        </w:tc>
        <w:tc>
          <w:tcPr>
            <w:tcW w:w="2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CCEEFF"/>
            </w:tcBorders>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Hood(1)(2)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138,003</w:t>
            </w:r>
          </w:p>
        </w:tc>
        <w:tc>
          <w:tcPr>
            <w:tcW w:w="80" w:type="dxa"/>
            <w:vAlign w:val="bottom"/>
            <w:shd w:val="clear" w:color="auto" w:fill="CCEEFF"/>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President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firstLine="656"/>
        <w:spacing w:after="0" w:line="263" w:lineRule="auto"/>
        <w:tabs>
          <w:tab w:leader="none" w:pos="9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Mr. Hood was appointed to serve as our President effective April 1, 2019. Mr. Hood was paid in British pounds for fiscal year 2019. The amounts included in the table above were determined by converting to U.S. dollars using the exchange rate in effect on December 31, 2019 (approximately 1 British pound sterling = 1.277 U.S. dollars).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Mr. Hood did not earn any bonus and was not granted any stock or option awards for fiscal 2019.</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Represents the Company’s contribution to a defined contribution plan in Mr. Hood’s name in the United Kingdom.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the Company’s Executive Compensation Program</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fiscal year 2019, the compensation for our named executive officer generally consisted of a base salary, standard employee benefits and a retirement plan. Following the consummation of this offering, we may also grant equity awards and cash bonuses as part of our executive compensation program for named executive officers, as determined by our board of directors or our compensation committee.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 as applicable.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Bonus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our board of directors or compensation committee may approve bonuses for our named executive officers based on individual performance, company performance or as otherwise determined appropriate.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offering, we intend to adopt the 2020 Plan in order to facilitate the grant of equity awards to our employees, consultants, and directors for the purposes of obtaining and retaining services of these individuals, which we believe is essential to our long-term success. It is anticipated that the 2020 Plan will become effective immediately prior to the consummation of this offering. For additional information about the 2020 Plan, see “Incentive Compensation Plan”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Elements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provide various employee benefit programs to our named executive officers, including health and life insurance benefits, which are generally available to all of our employees. We also currently maintain a 401(k) retirement savings plan for our U.S. employees, including our U.S.-based named executive officers, who satisfy certain eligibility requirements, and a similar retirement savings plan for our employees in the United Kingdom.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outstanding equity awards held as of December 31, 2019 by our named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 with Dmitry Kozko</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party to an employment agreement, effective as of January 1, 2020, with Dmitry Kozko, our Chief Executive Officer, for a term expiring on December 31, 2024. After such term expires, Mr. Kozko will be employed as an employee “at will.” Mr. Kozko’s base salary will be $500,000 per annum, subject to annual increases to 103% of the base salary paid to Mr. Kozko in the prior calendar year. Pursuant to the employment agreement, Mr. Kozko will serve on our board of directors upon consummation of this offering until such time as Mr. Kozko’s employment with us is terminated for any reason.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Mr. Kozko’s employment is terminated by us during the term of the employment agreement without “Cause” or by Mr. Kozko for “Good Reason” (as such terms are defined in such employment agreement), Mr. Kozko will be entitled to (i) payment of any unpaid base salary, (ii) continuation of payment of his base salary from the effective date of such termination to the earlier of expiration of 12 months after the date of such termination or to the end of the term of the employment agreement and (iii) reimbursement of his business expenses if any are then due. In addition, upon such termination, all of his (if any) unvested stock awards or stock option awards pursuant to our equity incentive plans (including the 2020 Plan) will be deemed vested on the effective date of such termination. Further, all of his (if any) unvested stock awards or stock option awards pursuant to our equity incentive plans (including the 2020 Plan) will vest upon a “Change in Control” (as such term is defined in such employment agreement) if it occurs during Mr. Kozko’s employment with the Company.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Kozko is entitled to participate (in addition to the additional incentive compensation described below) in all equity incentive plans generally available to our executive officers, subject to our compensation committee determining any awards and performance metrics for such awards under any such plans.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Kozko is entitled to the following additional incentive compensation outside of our equity incentive plans, including the 2020 Plan (the “Additional CEO Incentive”):</w:t>
      </w:r>
    </w:p>
    <w:p>
      <w:pPr>
        <w:spacing w:after="0" w:line="170" w:lineRule="exact"/>
        <w:rPr>
          <w:sz w:val="20"/>
          <w:szCs w:val="20"/>
          <w:color w:val="auto"/>
        </w:rPr>
      </w:pPr>
    </w:p>
    <w:p>
      <w:pPr>
        <w:jc w:val="both"/>
        <w:ind w:firstLine="656"/>
        <w:spacing w:after="0" w:line="271" w:lineRule="auto"/>
        <w:tabs>
          <w:tab w:leader="none" w:pos="899"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(i) a liquidity event of the Company occurs that results in the Company’s valuation of at least $100,000,000 and (ii) the repayment by us to Motorsport Group, LLC, Motorsport Network, LLC and/or their affiliates of the aggregate amount of investment by such parties in us and our subsidiaries through the date of consummation or closing of such liquidity event, as applicable, has occurred, we will issue as promptly as practicable to Mr. Kozko (1) such number of shares of our Class A common stock that would constitute 1.0% of the total shares of our Class A common stock expected to be issued and outstanding (on a fully diluted basis) immediately upon the closing of the initial liquidity event (the “Initial Shares Award”) and (2) a stock option award for such number of shares of our Class A common stock that would constitute 2.0% of the total shares of our Class A common stock expected to be issued and outstanding (on a fully diluted basis) immediately upon the closing of the initial liquidity event (the “Initial Option Award,” and together with the Initial Shares Award, the “Initial Award”).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jc w:val="both"/>
        <w:ind w:firstLine="648"/>
        <w:spacing w:after="0" w:line="253" w:lineRule="auto"/>
        <w:rPr>
          <w:sz w:val="20"/>
          <w:szCs w:val="20"/>
          <w:color w:val="auto"/>
        </w:rPr>
      </w:pPr>
      <w:r>
        <w:rPr>
          <w:rFonts w:ascii="Arial" w:cs="Arial" w:eastAsia="Arial" w:hAnsi="Arial"/>
          <w:sz w:val="18"/>
          <w:szCs w:val="18"/>
          <w:color w:val="auto"/>
        </w:rPr>
        <w:t>A liquidity event includes, with respect to the Company, a sale or exchange of capital stock, a merger or consolidation, a recapitalization, a tender or exchange offer, a leveraged buy-out, in each case to an unaffiliated purchaser or the Company or its parent causing a sale by the Company and its subsidiaries of substantially all of the Company’s and its subsidiaries consolidated assets to an unaffiliated purchaser, an initial public offering of the Company’s equity securities (“IPO”), including the offering contemplated hereby, or any monetization event of the Company (together with its subsidiaries), but only so long as in each such transaction, sale, reorganization, merger, recapitalization, tender or exchange offer, buy-out, monetization event or IPO, Motorsport Group, LLC, Motorsport Network, LLC and/or their affiliates receive in full the aggregate amount of their investment in the Company and its subsidiaries. In the case of an IPO, the Company’s valuation will be the market capitalization based on the initial public offering price in the offering and for any other liquidity event, the Company’s valuation will be on a cash-free, debt-free basis based on the consideration paid or payable in such liquidity event.</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Kozko will have an option, in his discretion, to replace all or a portion of his Initial Shares Award with a cash payment of up to $1,000,000. By way of example only: if Mr. Kozko opts to replace one-half of his Initial Shares Award with a cash payment, the cash amount would be $500,000; if Mr. Kozko opts to replace his entire Initial Shares Award with a cash payment, the cash amount would be $1,000,000. Pursuant to Mr. Kozko’s employment agreement, the Company will gross up the amount of such cash payment by increasing the gross amount of such cash payment to Mr. Kozko to account for the taxes withheld from or attributable to such payment.</w:t>
      </w:r>
    </w:p>
    <w:p>
      <w:pPr>
        <w:spacing w:after="0" w:line="188" w:lineRule="exact"/>
        <w:rPr>
          <w:sz w:val="20"/>
          <w:szCs w:val="20"/>
          <w:color w:val="auto"/>
        </w:rPr>
      </w:pPr>
    </w:p>
    <w:p>
      <w:pPr>
        <w:ind w:firstLine="656"/>
        <w:spacing w:after="0" w:line="277" w:lineRule="auto"/>
        <w:tabs>
          <w:tab w:leader="none" w:pos="9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satisfaction of the conditions set forth in paragraph (a) above, the amount of stock options for the shares of our Class A common stock to be issued to Mr. Kozko will be increased from time to time in the percentage increments set forth below if either:</w:t>
      </w:r>
    </w:p>
    <w:p>
      <w:pPr>
        <w:spacing w:after="0" w:line="170" w:lineRule="exact"/>
        <w:rPr>
          <w:sz w:val="20"/>
          <w:szCs w:val="20"/>
          <w:color w:val="auto"/>
        </w:rPr>
      </w:pPr>
    </w:p>
    <w:p>
      <w:pPr>
        <w:jc w:val="both"/>
        <w:ind w:left="980" w:hanging="324"/>
        <w:spacing w:after="0" w:line="259"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of a liquidity event that is an IPO that results in the listing of the Company on a major stock exchange such as Nasdaq or the New York Stock Exchange (“IPO”), our market capitalization targets (summarized below) are achieved from time to time by us (such targets will be deemed achieved if during any 60 consecutive calendar days, the average closing trading price of our Class A common stock corresponds to the market capitalization targets (summarized below)); or</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of a liquidity event that is not an IPO, our valuation targets summarized below are achieved by us. The percentage increments described in this paragraph will be the percentage of the total shares of our Class A common stock issued and outstanding on a fully diluted basis on the date of the applicable issuance.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percentage of increase in the number of stock options to be issued to Mr. Kozko will be 0.2% of the total shares of our Class A common stock issued and outstanding on a fully diluted basis on the date of the applicable issuance for each $50,000,000 incremental increase of the Company’s market capitalization target or valuation target (as applicable) in excess of $100,000,000,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percentage of increase in the number of stock options to be issued to Mr. Kozko will be 1.5% of the total shares of our Class A common stock issued and outstanding on a fully diluted basis on the date of the applicable issuance for the incremental increase of the Company’s market capitalization target or valuation target (as applicable) from $950,000,000 to $1,000,000,000. There will be no more incremental increases after the $1,000,000,000 threshold is reached.</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Such shares and stock option issuances pursuant to the Additional CEO Incentive have been approved by the sole manager of Motorsport Gaming US LLC, our predecessor, and are expected to be ratified by our compensation committee prior to the consummation of this offering. The shares and stock options will be issued to Mr. Kozko in reliance upon the exemption from the registration requirements of the Securities Act set forth in Section 4(a)(2) of the Securities Act and the resale of such shares will be restricted subject to compliance with applicable law, including the Securities Act.</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per share exercise price for any stock options issuable to Mr. Kozko pursuant to the Additional CEO Incentive may not be less than the fair market value of a share of our Class A common stock on the date of grant. In the case of an Initial Option Award issued in connection with an IPO (if the applicable liquidity event that triggers such award is an IPO), the per share exercise price will be equal to the initial public offering price in the offering.</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than the Initial Award that will vest immediately upon issuance, all other stock options issuable to Mr. Kozko pursuant to the Additional CEO Incentive will be subject to vesting in three equal installments during the three-year period after the date of issuance of the applicable stock options (i.e., 1/3rd vesting on the date that is 12 months after the issuance of the applicable stock options, 1/3rd vesting on the date that is 24 months after the issuance of the applicable stock options and 1/3rd vesting on the date that is 36 months after the issuance of the applicable stock options), but only so long as Mr. Kozko continues to be employed by the Company as of each such vesting date. Further, all stock options issuable to Mr. Kozko pursuant to the Additional CEO Incentive will expire ten years from the date of grant.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jc w:val="both"/>
        <w:ind w:firstLine="648"/>
        <w:spacing w:after="0" w:line="254" w:lineRule="auto"/>
        <w:rPr>
          <w:sz w:val="20"/>
          <w:szCs w:val="20"/>
          <w:color w:val="auto"/>
        </w:rPr>
      </w:pPr>
      <w:r>
        <w:rPr>
          <w:rFonts w:ascii="Arial" w:cs="Arial" w:eastAsia="Arial" w:hAnsi="Arial"/>
          <w:sz w:val="18"/>
          <w:szCs w:val="18"/>
          <w:color w:val="auto"/>
        </w:rPr>
        <w:t>However, (a) if Mr. Kozko’s employment is terminated at any time during the term of the employment agreement by the Company for any reason (including in the event of death or disability) other than for Cause or by Mr. Kozko for Good Reason, or in the event of a Change in Control during Mr. Kozko’s employment, then (1) all earned but not yet vested stock options issued pursuant to the Additional CEO Incentive will vest upon such termination or the effective date of such Change in Control (as applicable) and (2) the vested shares and/or stock options issued pursuant to the Additional CEO Incentive will not be forfeited by Mr. Kozko; and (b) in the event his employment is terminated at any time during the term of his employment agreement either (1) by him for any reason (other than Good Reason) or (2) by us for Cause, all unvested stock options issued pursuant to the Additional CEO Incentive will be forfeited by Mr. Kozko.</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Offer Letter with Jonathan New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3, 2019, we gave Jonathan New an offer letter providing for his position as our Chief Financial Officer with a starting date of January 3, 2020. Mr. New’s employment with the Company is at-will. Mr. New is currently entitled to a base salary of $240,000 per year, plus a $60,000 cash bonus per year. In connection with this offering, we expect to provide Mr. New a new offer letter with substantially the same terms as his current offer letter. Pursuant to the new offer letter, Mr. New will also be entitled to receive an annual stock option award for such number of shares of our Class A common stock that will equal his then applicable annual compensation divided by the closing trading price of our Class A common stock on the date of each such grant, which will vest in three equal annual installments from the date of grant.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Offer Letter with Stephen Hood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June 26, 2018, Stephen Hood entered into an offer letter with Autosport Media UK Limited, a subsidiary of Motorsport Network, to serve as Head of eSports. On April 5, 2019, the parties agreed that Mr. Hood would transition to President of Motorsport Games, effective April 1, 2019. Pursuant to his offer letter, Mr. Hood is currently entitled to a base salary of £145,000 per year and has the right to participate in the Company’s group pension plan for UK employees. In addition, other than in connection with a termination for cause as specified in his offer letter, the Company must provide Mr. Hood notice in writing three months in advance of any termination of employment. However, the Company may terminate Mr. Hood immediately by paying a sum equal to his gross basic salary (less any deductions) in lieu of this notice period or any remaining part of it. In connection with this offering, we expect to provide Mr. Hood a new offer letter pursuant to which Mr. Hood’s gross salary will increase to $230,000 (to be paid in pounds sterling at the then applicable exchange rate) with the other terms of his current offer letter remaining substantially the same. Pursuant to the new offer letter, Mr. Hood will also be entitled to receive an annual stock option award for such number of shares of our Class A common stock that will equal his then applicable annual compensation divided by the closing trading price of our Class A common stock on the date of each such grant, which will vest in three equal annual installments from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Plan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Accordingly, our board of directors and stockholders are expected to adopt the 2020 Plan, which we expect will become effective immediately prior to the consummation of this offering. The principal features of the 2020 Plan are summarized below. This summary is qualified in its entirety by reference to the actual text of the 2020 Plan, which is filed as an exhibit to the registration statement of which this prospectus is a part.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Awards</w:t>
      </w:r>
      <w:r>
        <w:rPr>
          <w:rFonts w:ascii="Arial" w:cs="Arial" w:eastAsia="Arial" w:hAnsi="Arial"/>
          <w:sz w:val="18"/>
          <w:szCs w:val="18"/>
          <w:color w:val="auto"/>
        </w:rPr>
        <w:t>. The 2020 Plan permits the grant of options, stock appreciation rights (“SARs”), restricted stock, restricted stock units, and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awards (each, an “Award”) to certain Eligible Persons (as defined below).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Employees, non-employee directors, consultants and independent contractors of the Company (“Eligible Persons”) designated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of our board of directors are eligible to receive grants of Awards under the 2020 Plan.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Except with respect to Awards granted to non-employee directors, the 2020 Plan will be administered by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With respect to Awards granted to non-employee directors, our board of directors serves as the “committee.” Our compensation committee has authority and discretion to determine the Eligible Persons to whom Awards are granted (“Participants”) and, subject to the provisions of the 2020 Plan, the terms of all Awards under the 2020 Plan. Pursuant to the charter of our compensation committee, the outside members of our board of directors will approve Awards to our Chief Executive Officer. Subject to the provisions of the 2020 Plan, our compensation committee has authority to interpret the 2020 Plan and agreements under the 2020 Plan and to make all other determinations relating to the administration of the 2020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7" w:name="page98"/>
    <w:bookmarkEnd w:id="97"/>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Share Available</w:t>
      </w:r>
      <w:r>
        <w:rPr>
          <w:rFonts w:ascii="Arial" w:cs="Arial" w:eastAsia="Arial" w:hAnsi="Arial"/>
          <w:sz w:val="17"/>
          <w:szCs w:val="17"/>
          <w:color w:val="auto"/>
        </w:rPr>
        <w:t>. The maximum number of shares of our Class A common stock that may be issued under the 2020 Plan will be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adjustment in the event of any stock split or reverse stock split of our Class A common stock. The number of shares of Class A common stock delivered to the Company as payment for the exercise price of, or in satisfaction of withholding taxes arising from, options or other Awards granted under the 2020 Plan will be made available for grant under the 2020 Plan. If any shares of restricted Class A common stock are forfeited, or if any Award terminates, expires or is settled without all or a portion of the Class A common stock covered by the Award being issued (including Class A common stock not issued to satisfy withholding taxes), such Class A common stock will again be available for the grant of additional Awards. Substitute awards do not count against the number of shares of Class A common stock that may be issued under the 2020 Plan.</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color w:val="auto"/>
        </w:rPr>
        <w:t>. The 2020 Plan authorizes the grant of nonqualified stock options and incentive stock options. Incentive stock options are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satisfy the requirements of Section 422 of the U.S. Internal Revenue Code of 1986, as amended (the “Code”). Nonqualified stock options are stock options that do not satisfy the requirements of Section 422 of the Code. The exercise of an option permits the participant to purchase Class A common stock from the Company at a specified exercise price per share. The maximum number of share of Class A common stock issuable upon the exercise of</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incentive stock options is . Options granted under the 2020 Plan are exercisable upon such terms and conditions as our compensation committee shall determine, subject to the terms of the 2020 Plan. The per share exercise price of all options granted under the 2020 Plan may not be less than the fair market value of a share of Class A common stock on the date of grant. The 2020 Plan provides that the term during which options may be exercised is determined by our compensation committee, except that no option may be exercised more than ten years after its date of grant.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SARs</w:t>
      </w:r>
      <w:r>
        <w:rPr>
          <w:rFonts w:ascii="Arial" w:cs="Arial" w:eastAsia="Arial" w:hAnsi="Arial"/>
          <w:sz w:val="18"/>
          <w:szCs w:val="18"/>
          <w:color w:val="auto"/>
        </w:rPr>
        <w:t>. The 2020 Plan authorizes our compensation committee to grant SARs. A SAR entitles the participant upon exercise to receive without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to the Company, Class A common stock, or a combination of cash and Class A common stock, having a value equal to the appreciation in the fair market value of the Class A common stock covered by the SAR from the date of grant of the SAR (or, if the SAR relates to an option, the date of grant of the related option). The period during which a SAR may be exercised is determined by our compensation committee, except that a SAR may not be exercised more than ten years after its date of grant.</w:t>
      </w:r>
    </w:p>
    <w:p>
      <w:pPr>
        <w:spacing w:after="0" w:line="188"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2020 Plan authorizes our compensation committee to grant restricted stock awards. Class A common stock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 restricted stock award are restricted against transfer and subject to forfeiture and any other terms and conditions as our compensation committee determines, subject to the terms of the 2020 Plan. These terms and conditions may provide, in the discretion of our compensation committee, for the vesting of awards of restricted stock to be contingent upon the achievement of continued employment or one or more performance goals.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Restricted stock unit awards granted under the 2020 Plan are contingent awards of Class A common stock (or the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thereof). Unlike in the case of awards of restricted stock, Class A common stock is not issued immediately upon the award of restricted stock units, but instead Class A common stock is issued upon satisfying such terms and conditions as our compensation committee may specify, subject to the terms of the 2020 Plan, including the achievement of performance goals.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Performance Share Awards</w:t>
      </w:r>
      <w:r>
        <w:rPr>
          <w:rFonts w:ascii="Arial" w:cs="Arial" w:eastAsia="Arial" w:hAnsi="Arial"/>
          <w:sz w:val="16"/>
          <w:szCs w:val="16"/>
          <w:color w:val="auto"/>
        </w:rPr>
        <w:t>. The 2020 Plan authorizes the grant of performance awards. Performance awards provide for payments of cash,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 of Class A common stock, options or SARs, or a combination thereof, contingent upon the attainment of one or more performance goals (described below) that our compensation committee establishes. The minimum period with respect to which performance goals are measured is one year (pro-rated in the case of a newly hired employee), except in the event of a change of control. For purposes of the limit on the number of Class A common stock with respect to which an employee may be granted Awards during any calendar year, a performance award is deemed to cover the number of Class A common stock equal to the maximum number of Class A common stock that may be issued upon payment of the Award. The maximum cash amount that may be paid to any employee pursuant to all performance awards granted to the employee during a calendar year may not exceed $5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Capital Adjustments</w:t>
      </w:r>
      <w:r>
        <w:rPr>
          <w:rFonts w:ascii="Arial" w:cs="Arial" w:eastAsia="Arial" w:hAnsi="Arial"/>
          <w:sz w:val="18"/>
          <w:szCs w:val="18"/>
          <w:color w:val="auto"/>
        </w:rPr>
        <w:t>. Upon a change in the outstanding Class A common stock by reason of a stock dividend, stock split, or reverse stock split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stock change”), unless otherwise determined by our compensation committee on or prior to the date of the capital stock change, each of the following shall, automatically and without need for compensation committee action, be proportionately adjusted:</w:t>
      </w:r>
    </w:p>
    <w:p>
      <w:pPr>
        <w:spacing w:after="0" w:line="184"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shares of Class A common stock subject to outstanding Awards;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 share exercise price of options and the per share base price upon which payments under SARs are determined;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number of shares of Class A common stock as to which Awards thereafter may be granted under the 2020 Plan.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outstanding Class A common stock changes as a result of a capital stock change, recapitalization, reclassification, extraordinary cash dividend, combination or exchange of shares, merger, consolidation or liquidation, our compensation committee shall, as it deems equitable in its discretion, substitute or adjust:</w:t>
      </w:r>
    </w:p>
    <w:p>
      <w:pPr>
        <w:spacing w:after="0" w:line="184"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and class of securities subject to outstanding Awards;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type of consideration to be received upon exercise or vesting of an Award;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exercise price of options and base price upon which payments under SARs are determined;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 number and class of securities for which Awards may be granted under the 2020 Plan.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provided in an Award Agreement or other written document such as an employment agreement or a change of control agreement, if a Change of Control (as defined in the 2020 Plan) occurs and Awards are not converted, assumed, or replaced by a successor, all outstanding Awards will become fully exercisable and all restrictions on outstanding Awards shall lapse. Upon, or in anticipation of, such an event, our compensation committee may cause every Award outstanding hereunder to terminate at a specific time in the future and shall give each Participant the right to exercise Awards during a period of time as the committee determines.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Exercise of Options or SARs</w:t>
      </w:r>
      <w:r>
        <w:rPr>
          <w:rFonts w:ascii="Arial" w:cs="Arial" w:eastAsia="Arial" w:hAnsi="Arial"/>
          <w:sz w:val="18"/>
          <w:szCs w:val="18"/>
          <w:color w:val="auto"/>
        </w:rPr>
        <w:t>. An option or SAR may be exercised by a participant delivering to the Company a notice of exercise and, in the case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options, full payment for the Class A common stock with respect to which the option is exercised. To the extent authorized by our compensation committee or provided for in the award agreement, payment may be made (a) by delivery of unencumbered Class A common stock valued at fair market value on the date of exercise, (b) pursuant to the broker-assisted cashless exercise or (c) by the Company withholding Class A common stock that would otherwise be issued in connection with the exercise of the option (“net exercise”).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net exercise provisions, a participant may surrender to the Company an option (or a portion of the option) that has become exercisable and receive a whole number of shares of Class A common stock valued as the difference of (a) the fair market value of the Class A common stock subject to the option that is being surrendered over (b) the exercise price, plus any amount for fractional shares of Class A common stock.</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No Loans</w:t>
      </w:r>
      <w:r>
        <w:rPr>
          <w:rFonts w:ascii="Arial" w:cs="Arial" w:eastAsia="Arial" w:hAnsi="Arial"/>
          <w:sz w:val="18"/>
          <w:szCs w:val="18"/>
          <w:color w:val="auto"/>
        </w:rPr>
        <w:t>. The 2020 Plan expressly prohibits Company loans to the Company’s executive officers and directors, including without limitation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in conjunction with the exercise of an option or SAR.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color w:val="auto"/>
        </w:rPr>
        <w:t>. Awards granted under the 2020 Plan may not be transferred, assigned, alienated or encumbered, except as otherwise provided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agreement relating to an Award to (a) a Participant’s spouse, children or grandchildren (including any adopted and step children or grandchildren), parents, grandparents or siblings, (b) to a trust for the benefit of one or more of the Participant or the persons referred to in clause (a), (c) to a partnership, limited liability company or corporation in which the Participant or the persons referred to in clause (a) are the only partners, members or shareholders or (d) for charitable donations.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9" w:name="page100"/>
    <w:bookmarkEnd w:id="99"/>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Termination and Amendment</w:t>
      </w:r>
      <w:r>
        <w:rPr>
          <w:rFonts w:ascii="Arial" w:cs="Arial" w:eastAsia="Arial" w:hAnsi="Arial"/>
          <w:sz w:val="18"/>
          <w:szCs w:val="18"/>
          <w:color w:val="auto"/>
        </w:rPr>
        <w:t>. Our board of directors may amend or terminate the 2020 Plan at any time. However, our board of directors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 or terminate the 2020 Plan without the approval of (a) the Company’s stockholders (i) if the amendment relates to the re-pricing of options and SARs or (ii) if stockholder approval of the amendment is required by applicable law, rules or regulations, and (b) each affected participant if the amendment or termination would adversely affect the participant’s rights or obligations under any Awards granted prior to the date of the amendment or termination.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Modification of Awards; No Re-pricing</w:t>
      </w:r>
      <w:r>
        <w:rPr>
          <w:rFonts w:ascii="Arial" w:cs="Arial" w:eastAsia="Arial" w:hAnsi="Arial"/>
          <w:sz w:val="18"/>
          <w:szCs w:val="18"/>
          <w:color w:val="auto"/>
        </w:rPr>
        <w:t>. Our compensation committee may modify the terms of outstanding Awards. However, except to reflect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stock changes, neither options nor SARs may be (a) modified to reduce their exercise prices, (b) cancelled or surrendered in consideration for the grant of new options or SARs with a lower exercise price or (c) cancelled or surrendered in exchange for cash or another Award (other than in connection with a substitute award or a change of control).</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Substitution of Awards</w:t>
      </w:r>
      <w:r>
        <w:rPr>
          <w:rFonts w:ascii="Arial" w:cs="Arial" w:eastAsia="Arial" w:hAnsi="Arial"/>
          <w:sz w:val="17"/>
          <w:szCs w:val="17"/>
          <w:color w:val="auto"/>
        </w:rPr>
        <w:t>. Awards may, in our compensation committee’s discretion, be granted in substitution for stock options and other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covering capital stock of another corporation which is merged into, consolidated with, or all or a substantial portion of the property or stock of which is acquired by, the Company or any subsidiary. Substitute Awards do not count against (a) the Class A common stock subject to issuance under the 2020 Plan or (b) the limit on Class A common stock that may be granted to an Eligible Person in a calendar year.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Withholding</w:t>
      </w:r>
      <w:r>
        <w:rPr>
          <w:rFonts w:ascii="Arial" w:cs="Arial" w:eastAsia="Arial" w:hAnsi="Arial"/>
          <w:sz w:val="18"/>
          <w:szCs w:val="18"/>
          <w:color w:val="auto"/>
        </w:rPr>
        <w:t>. The Company is generally required to withhold tax on the amount of income recognized by a participant with respect to an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requirements may be satisfied, as provided in the agreement evidencing the Award, by (a) tender of a cash payment to the Company, (b) withholding of Class A common stock otherwise issuable pursuant to an Award, or (c) delivery to the Company by the participant of unencumbered Class A common stock.</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Term of the 2020 Plan</w:t>
      </w:r>
      <w:r>
        <w:rPr>
          <w:rFonts w:ascii="Arial" w:cs="Arial" w:eastAsia="Arial" w:hAnsi="Arial"/>
          <w:sz w:val="18"/>
          <w:szCs w:val="18"/>
          <w:color w:val="auto"/>
        </w:rPr>
        <w:t>. Unless sooner terminated by our board of directors, the 2020 Plan will terminate on , 2030. Once the 2020 Plan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 no further Awards may be granted or awarded under the 2020 Plan. Termination of the 2020 Plan will not affect the validity of any Awards outstanding on the date of termination.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Clawback</w:t>
      </w:r>
      <w:r>
        <w:rPr>
          <w:rFonts w:ascii="Arial" w:cs="Arial" w:eastAsia="Arial" w:hAnsi="Arial"/>
          <w:sz w:val="18"/>
          <w:szCs w:val="18"/>
          <w:color w:val="auto"/>
        </w:rPr>
        <w:t>. Awards granted under the 2020 Plan are subject to cancellation, forfeiture and recovery in accordance with any compensation recovery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that may be adopted by the Company after the date of the 2020 Plan, including any compensation recovery policy adopted pursuant to the requirements of Section 954 of the Dodd- Frank Wall Street Reform and Consumer Protection Act of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Taken in Connection with This Offering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this offering and to provide additional retention incentives, we intend to grant, effective on the date that the registration statement of which this prospectus forms a part becomes effective:</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tcPr>
          <w:p>
            <w:pPr>
              <w:ind w:left="100"/>
              <w:spacing w:after="0"/>
              <w:rPr>
                <w:sz w:val="20"/>
                <w:szCs w:val="20"/>
                <w:color w:val="auto"/>
              </w:rPr>
            </w:pPr>
            <w:r>
              <w:rPr>
                <w:rFonts w:ascii="Arial" w:cs="Arial" w:eastAsia="Arial" w:hAnsi="Arial"/>
                <w:sz w:val="18"/>
                <w:szCs w:val="18"/>
                <w:color w:val="auto"/>
                <w:w w:val="93"/>
              </w:rPr>
              <w:t>stock options under the 2020 Plan to purchase an aggregate of</w:t>
            </w:r>
          </w:p>
        </w:tc>
        <w:tc>
          <w:tcPr>
            <w:tcW w:w="5520" w:type="dxa"/>
            <w:vAlign w:val="bottom"/>
            <w:gridSpan w:val="4"/>
          </w:tcPr>
          <w:p>
            <w:pPr>
              <w:jc w:val="right"/>
              <w:spacing w:after="0"/>
              <w:rPr>
                <w:sz w:val="20"/>
                <w:szCs w:val="20"/>
                <w:color w:val="auto"/>
              </w:rPr>
            </w:pPr>
            <w:r>
              <w:rPr>
                <w:rFonts w:ascii="Arial" w:cs="Arial" w:eastAsia="Arial" w:hAnsi="Arial"/>
                <w:sz w:val="18"/>
                <w:szCs w:val="18"/>
                <w:color w:val="auto"/>
                <w:w w:val="94"/>
              </w:rPr>
              <w:t>shares of our Class A common stock to certain employees at an exercise</w:t>
            </w:r>
          </w:p>
        </w:tc>
      </w:tr>
      <w:tr>
        <w:trPr>
          <w:trHeight w:val="216"/>
        </w:trPr>
        <w:tc>
          <w:tcPr>
            <w:tcW w:w="220" w:type="dxa"/>
            <w:vAlign w:val="bottom"/>
          </w:tcPr>
          <w:p>
            <w:pPr>
              <w:spacing w:after="0"/>
              <w:rPr>
                <w:sz w:val="18"/>
                <w:szCs w:val="18"/>
                <w:color w:val="auto"/>
              </w:rPr>
            </w:pPr>
          </w:p>
        </w:tc>
        <w:tc>
          <w:tcPr>
            <w:tcW w:w="8100" w:type="dxa"/>
            <w:vAlign w:val="bottom"/>
            <w:gridSpan w:val="2"/>
          </w:tcPr>
          <w:p>
            <w:pPr>
              <w:ind w:left="100"/>
              <w:spacing w:after="0"/>
              <w:rPr>
                <w:sz w:val="20"/>
                <w:szCs w:val="20"/>
                <w:color w:val="auto"/>
              </w:rPr>
            </w:pPr>
            <w:r>
              <w:rPr>
                <w:rFonts w:ascii="Arial" w:cs="Arial" w:eastAsia="Arial" w:hAnsi="Arial"/>
                <w:sz w:val="18"/>
                <w:szCs w:val="18"/>
                <w:color w:val="auto"/>
                <w:w w:val="95"/>
              </w:rPr>
              <w:t>price per share equal to the initial public offering price in this offering, including stock options to purchase</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ind w:left="240"/>
              <w:spacing w:after="0"/>
              <w:rPr>
                <w:sz w:val="20"/>
                <w:szCs w:val="20"/>
                <w:color w:val="auto"/>
              </w:rPr>
            </w:pPr>
            <w:r>
              <w:rPr>
                <w:rFonts w:ascii="Arial" w:cs="Arial" w:eastAsia="Arial" w:hAnsi="Arial"/>
                <w:sz w:val="18"/>
                <w:szCs w:val="18"/>
                <w:color w:val="auto"/>
              </w:rPr>
              <w:t>and</w:t>
            </w:r>
          </w:p>
        </w:tc>
        <w:tc>
          <w:tcPr>
            <w:tcW w:w="920" w:type="dxa"/>
            <w:vAlign w:val="bottom"/>
          </w:tcPr>
          <w:p>
            <w:pPr>
              <w:jc w:val="right"/>
              <w:spacing w:after="0"/>
              <w:rPr>
                <w:sz w:val="20"/>
                <w:szCs w:val="20"/>
                <w:color w:val="auto"/>
              </w:rPr>
            </w:pPr>
            <w:r>
              <w:rPr>
                <w:rFonts w:ascii="Arial" w:cs="Arial" w:eastAsia="Arial" w:hAnsi="Arial"/>
                <w:sz w:val="18"/>
                <w:szCs w:val="18"/>
                <w:color w:val="auto"/>
              </w:rPr>
              <w:t>shares of</w:t>
            </w:r>
          </w:p>
        </w:tc>
      </w:tr>
      <w:tr>
        <w:trPr>
          <w:trHeight w:val="216"/>
        </w:trPr>
        <w:tc>
          <w:tcPr>
            <w:tcW w:w="220" w:type="dxa"/>
            <w:vAlign w:val="bottom"/>
          </w:tcPr>
          <w:p>
            <w:pPr>
              <w:spacing w:after="0"/>
              <w:rPr>
                <w:sz w:val="18"/>
                <w:szCs w:val="18"/>
                <w:color w:val="auto"/>
              </w:rPr>
            </w:pPr>
          </w:p>
        </w:tc>
        <w:tc>
          <w:tcPr>
            <w:tcW w:w="10360" w:type="dxa"/>
            <w:vAlign w:val="bottom"/>
            <w:gridSpan w:val="5"/>
          </w:tcPr>
          <w:p>
            <w:pPr>
              <w:ind w:left="100"/>
              <w:spacing w:after="0"/>
              <w:rPr>
                <w:sz w:val="20"/>
                <w:szCs w:val="20"/>
                <w:color w:val="auto"/>
              </w:rPr>
            </w:pPr>
            <w:r>
              <w:rPr>
                <w:rFonts w:ascii="Arial" w:cs="Arial" w:eastAsia="Arial" w:hAnsi="Arial"/>
                <w:sz w:val="18"/>
                <w:szCs w:val="18"/>
                <w:color w:val="auto"/>
                <w:w w:val="91"/>
              </w:rPr>
              <w:t>our Class A common stock to Messrs. Kozko, New and Hood, respectively, which will vest in three equal annual installments from the date of</w:t>
            </w:r>
          </w:p>
        </w:tc>
      </w:tr>
      <w:tr>
        <w:trPr>
          <w:trHeight w:val="230"/>
        </w:trPr>
        <w:tc>
          <w:tcPr>
            <w:tcW w:w="2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grant.</w:t>
            </w:r>
          </w:p>
        </w:tc>
        <w:tc>
          <w:tcPr>
            <w:tcW w:w="3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tcPr>
          <w:p>
            <w:pPr>
              <w:ind w:left="100"/>
              <w:spacing w:after="0"/>
              <w:rPr>
                <w:sz w:val="20"/>
                <w:szCs w:val="20"/>
                <w:color w:val="auto"/>
              </w:rPr>
            </w:pPr>
            <w:r>
              <w:rPr>
                <w:rFonts w:ascii="Arial" w:cs="Arial" w:eastAsia="Arial" w:hAnsi="Arial"/>
                <w:sz w:val="18"/>
                <w:szCs w:val="18"/>
                <w:color w:val="auto"/>
                <w:w w:val="93"/>
              </w:rPr>
              <w:t>stock options under the 2020 Plan to purchase an aggregate of</w:t>
            </w:r>
          </w:p>
        </w:tc>
        <w:tc>
          <w:tcPr>
            <w:tcW w:w="5520" w:type="dxa"/>
            <w:vAlign w:val="bottom"/>
            <w:gridSpan w:val="4"/>
          </w:tcPr>
          <w:p>
            <w:pPr>
              <w:jc w:val="right"/>
              <w:spacing w:after="0"/>
              <w:rPr>
                <w:sz w:val="20"/>
                <w:szCs w:val="20"/>
                <w:color w:val="auto"/>
              </w:rPr>
            </w:pPr>
            <w:r>
              <w:rPr>
                <w:rFonts w:ascii="Arial" w:cs="Arial" w:eastAsia="Arial" w:hAnsi="Arial"/>
                <w:sz w:val="18"/>
                <w:szCs w:val="18"/>
                <w:color w:val="auto"/>
                <w:w w:val="94"/>
              </w:rPr>
              <w:t>shares of our Class A common stock to our non-employee directors at an</w:t>
            </w:r>
          </w:p>
        </w:tc>
      </w:tr>
      <w:tr>
        <w:trPr>
          <w:trHeight w:val="216"/>
        </w:trPr>
        <w:tc>
          <w:tcPr>
            <w:tcW w:w="220" w:type="dxa"/>
            <w:vAlign w:val="bottom"/>
          </w:tcPr>
          <w:p>
            <w:pPr>
              <w:spacing w:after="0"/>
              <w:rPr>
                <w:sz w:val="18"/>
                <w:szCs w:val="18"/>
                <w:color w:val="auto"/>
              </w:rPr>
            </w:pPr>
          </w:p>
        </w:tc>
        <w:tc>
          <w:tcPr>
            <w:tcW w:w="10360" w:type="dxa"/>
            <w:vAlign w:val="bottom"/>
            <w:gridSpan w:val="5"/>
          </w:tcPr>
          <w:p>
            <w:pPr>
              <w:ind w:left="100"/>
              <w:spacing w:after="0"/>
              <w:rPr>
                <w:sz w:val="20"/>
                <w:szCs w:val="20"/>
                <w:color w:val="auto"/>
              </w:rPr>
            </w:pPr>
            <w:r>
              <w:rPr>
                <w:rFonts w:ascii="Arial" w:cs="Arial" w:eastAsia="Arial" w:hAnsi="Arial"/>
                <w:sz w:val="18"/>
                <w:szCs w:val="18"/>
                <w:color w:val="auto"/>
                <w:w w:val="96"/>
              </w:rPr>
              <w:t>exercise price per share equal to the initial public offering price in this offering, which will vest one year from the date of grant and are</w:t>
            </w:r>
          </w:p>
        </w:tc>
      </w:tr>
      <w:tr>
        <w:trPr>
          <w:trHeight w:val="230"/>
        </w:trPr>
        <w:tc>
          <w:tcPr>
            <w:tcW w:w="220" w:type="dxa"/>
            <w:vAlign w:val="bottom"/>
          </w:tcPr>
          <w:p>
            <w:pPr>
              <w:spacing w:after="0"/>
              <w:rPr>
                <w:sz w:val="20"/>
                <w:szCs w:val="20"/>
                <w:color w:val="auto"/>
              </w:rPr>
            </w:pPr>
          </w:p>
        </w:tc>
        <w:tc>
          <w:tcPr>
            <w:tcW w:w="10360" w:type="dxa"/>
            <w:vAlign w:val="bottom"/>
            <w:gridSpan w:val="5"/>
          </w:tcPr>
          <w:p>
            <w:pPr>
              <w:ind w:left="100"/>
              <w:spacing w:after="0"/>
              <w:rPr>
                <w:sz w:val="20"/>
                <w:szCs w:val="20"/>
                <w:color w:val="auto"/>
              </w:rPr>
            </w:pPr>
            <w:r>
              <w:rPr>
                <w:rFonts w:ascii="Arial" w:cs="Arial" w:eastAsia="Arial" w:hAnsi="Arial"/>
                <w:sz w:val="18"/>
                <w:szCs w:val="18"/>
                <w:color w:val="auto"/>
                <w:w w:val="97"/>
              </w:rPr>
              <w:t>intended to constitute the 2020 annual grant under our non-employee director compensation policy (see “—Director Compensation”).</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this offering, effective on the date that the registration statement of which this prospectus forms a part becomes effective, we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also intend to grant Francesco Piovanetti, a member of our board of directors, shares of our Class A common stock under the 2020 Plan, which represents a stock award equal to $100,000 divided by the initial public offering price in this offering, which would vest immediately upon issuance. On the one-year anniversary date of the closing of this offering, we intend to grant Mr. Piovanetti an additional stock award for such number of shares of our Class A common stock that will equal $100,000 divided by the closing trading price of our Class A common stock on the date of such grant, which would vest immediately upon issuance. These awards are expected to be granted to Mr. Piovanetti for his continuing service as chair of our audit committee and as an “audit committee financial expert” (subject to his qualification and appointment, as applicable) and are in addition to the non-employee director compensation that Mr. Piovanetti is entitled to as set forth under “—Director Compensation.”</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pursuant to Mr. Kozko’s employment agreement with us, we may issue to Mr. Kozko outside of the 2020 Plan (i) up to shares representing 1.0% of the expected issued and outstanding shares of our Class A common stock as of the closing date of this offering and (ii) stock options</w:t>
      </w:r>
    </w:p>
    <w:p>
      <w:pPr>
        <w:jc w:val="both"/>
        <w:spacing w:after="0" w:line="255" w:lineRule="auto"/>
        <w:rPr>
          <w:sz w:val="20"/>
          <w:szCs w:val="20"/>
          <w:color w:val="auto"/>
        </w:rPr>
      </w:pPr>
      <w:r>
        <w:rPr>
          <w:rFonts w:ascii="Arial" w:cs="Arial" w:eastAsia="Arial" w:hAnsi="Arial"/>
          <w:sz w:val="18"/>
          <w:szCs w:val="18"/>
          <w:color w:val="auto"/>
        </w:rPr>
        <w:t>to purchase shares of our Class A common stock representing 2.0% of the expected issued and outstanding shares of our Class A common stock as of the closing date of this offering, subject to the satisfaction of certain conditions, which would vest immediately upon issuance. See “—Executive Employment Arrangements—Employment Agreement with Dmitry Kozko.”</w:t>
      </w:r>
    </w:p>
    <w:p>
      <w:pPr>
        <w:spacing w:after="0" w:line="19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connection with this offering, we expect to provide each of Mr. New and Mr. Hood a new offer letter. See “—Executive Employment Arrangements—Offer Letter with Jonathan New” and “—Executive Employment Arrangements—Offer Letter with Stephen Hood.”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Historically, we have not paid cash or equity compensation to any of our non-employee directors for service on our board of directors, and no such amounts were paid to our non-employee directors during fiscal year 2019. As of December 31, 2019, none of our non-employee directors held any option awards or unvested stock awards in us.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our board of directors will adopt a non-employee director compensation policy, which we expect will become effective immediately prior to the consummation of this offering. Under the non-employee director compensation policy, our non-employee directors are expected to be eligible to receive compensation for service on our board of directors and committees of our board of directors as follows:</w:t>
      </w:r>
    </w:p>
    <w:p>
      <w:pPr>
        <w:spacing w:after="0" w:line="184" w:lineRule="exact"/>
        <w:rPr>
          <w:sz w:val="20"/>
          <w:szCs w:val="20"/>
          <w:color w:val="auto"/>
        </w:rPr>
      </w:pPr>
    </w:p>
    <w:p>
      <w:pPr>
        <w:jc w:val="both"/>
        <w:ind w:left="980" w:hanging="324"/>
        <w:spacing w:after="0" w:line="279"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Each non-employee director shall be entitled to receive $25,000 annually as a cash retainer for their board service, with additional annual cash retainers of (i) $2,000 for each member of our compensation committee or nominating and governance committee; (ii) $5,000 for the chairman of our compensation committee or nominating and governance committee; (iii) $8,000 for each member of our audit committee; and (iv) $16,000 for the chairman of our audit committee. All cash retainers are paid quarterly in arrears.</w:t>
      </w:r>
    </w:p>
    <w:p>
      <w:pPr>
        <w:spacing w:after="0" w:line="171"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Additionally, each non-employee director shall receive an annual stock option award under the 2020 Plan to purchase such number of shares of our Class A common stock that will equal $75,000 divided by the closing trading price of our Class A common stock on the date of each such grant, which will vest one year from the date of grant. Upon the occurrence of certain corporate events, including a change of control of the Company, all such stock option awards will immediately vest. The initial annual stock option award will be awarded to each of our non-employee directors in connection with this offering. See “—Actions Taken in Connection with This Offering.”</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non-employee directors are entitled to reimbursement of ordinary, necessary and reasonable out-of-pocket travel expenses incurred in connection with attending in-person meetings of our board of directors or committees thereof. In the event our non-employee directors are required to attend greater than four in-person meetings or 12 telephonic meetings during any fiscal year, such non-employee directors shall be entitled to additional compensation in the amount of $500 for each additional telephonic meeting beyond the 12 telephonic meeting threshold, and $1,000 for each additional in-person meeting beyond the four in-person meeting threshold.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are summaries of transactions since January 1, 2017 to which we have been a participant that involved amounts that exceeded or will exceed the lesser of (i) $120,000 or (ii) one percent of the average of our total assets at December 31, 2019 and 2018, and in which any of our directors, executive officers or any other “related person” as defined in Item 404(a) of Regulation S-K had or will have a direct or indirect material interest.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Motorsport Network</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Prior to the completion of this offering, we were a wholly owned subsidiary of Motorsport Network. After this offering, Motorsport Network, as our majority stockholder, will continue to have the power, acting alone, to approve any action requiring a vote of shares representing a majority of the combined voting power of our outstanding Class A common stock and Class B common stock. As long as Motorsport Network continues to control a majority of the voting power of our outstanding shares of common stock, it will be able to exercise control over all matters requiring approval by our stockholders, including the election of our directors and approval of significant corporate transactions. Motorsport Network’s controlling interest may discourage or prevent a change in control of our Company that other holders of our common stock may favor. Motorsport Network is not subject to any contractual obligation to retain any of our common stock, except that it has agreed not to sell or otherwise dispose of any shares of our common stock for a period ending 180 days after the date of this prospectus without the prior written consent of The Benchmark Company, LLC, subject to specified exceptions, as described under “Underwriting.”</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the Company’s formation in August 2018, Motorsport Network has historically paid for the Company’s expenses on the Company’s behalf. In addition, Motorsport Network has occasionally advanced funds to the Company. For the Successor Periods ended December 31, 2019 and 2018, the Company incurred expenses of $647,513 and $8,027, respectively, that were paid by Motorsport Network on its behalf and were reimbursable by the Company. For the Successor Periods ended December 31, 2019 and 2018, the Company received proceeds of $2,274,875 and $4,000,500, respectively, in connection with non-interest bearing advances from Motorsport Network, which were included in the amount outstanding under the Promissory Note at the time it was executed. See “Management’s Discussion and Analysis of Financial Condition and Results of Operations—Liquidity and Capital Resources— Promissory Note Line of Credit” for additional information.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Successor Periods ended December 31, 2019 and 2018, an entity wholly-owned by Motorsport Network provided advertising, promotional and other services of $641,938 and $472,669, respectively, to 704Games pursuant to the terms of the stock purchase agreement entered into in connection with the acquisition of 704Games in August 2018.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 2020, we entered into a three-year services agreement with Motorsport Network (the “Services Agreement”), pursuant to which Motorsport Network will provide exclusive legal, development and accounting services on a full-time basis to support our business functions. The Services Agreement can be extended by mutual agreement and may be terminated by either party at any time. Pursuant to the Services Agreement, we are required to pay monthly fees to Motorsport Network as follows: (i) $5,000 for legal services, (ii) $2,500 for accounting services and (iii) on an hourly, per use basis, from $15 to $30 per hour for development services.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Promotion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3, 2018, we entered into a promotion agreement with Motorsport Network (the “Promotion Agreement”), pursuant to which Motorsport Network will provide us with exclusive promotion services consisting of the use of its and its affiliates’ various media platforms to promote our business, organizations, products and services in the racing video game market and related esports activities. The Promotion Agreement will remain in effect until such date that Motorsport Network no longer holds at least 20% of the voting interest in us, at which time the Promotion Agreement will terminate automatically. Under the terms of the Promotion Agreement, we are required to give Motorsport Network an “exclusive first look” at any media-related activity in consideration of the promotion services.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15, 2020, we entered into a five-year lease agreement for office space in Miami, Florida with the managing member of Motorsport Network. The base rent from the lease commencement date through April 15, 2025 is $3,000 per month. We have the option to renew the lease for two separate five-year terms, with monthly rent to be negotiated prior to such extension. The security deposit is $6,000.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Employment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entered into offer letter agreements and employment agreements with our executive officers. For more information regarding these agreements, see “Executive Compensation—Executive Employment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 to Executive Officers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the consummation of this offering and to provide additional retention incentives, we intend to grant stock options under the 2020 Plan to certain employees, including our executive officers. Additionally, pursuant to Mr. Kozko’s employment agreement with us, we may issue Mr. Kozko certain shares of our Class A common stock and stock options outside of the 2020 plan in connection with the consummation of this offering, subject to the satisfaction of certain conditions as set forth in his employment agreement. For more information regarding these grants, see “Executive Compensation—Actions Taken in Connection with This Offering” and “Executive Compensation—Executive Employment Arrangements.”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and executive officers to provide these directors and executive officers additional contractual assurances regarding the scope of the indemnification set forth in our certificate of incorporation and bylaws and to provide additional procedural protections. At present, there is no pending litigation or proceeding involving any of our directors or executive officers regarding which indemnification is sought.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Policy Regarding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Given our small size and limited financial resources, we have not adopted formal written policies and procedures for the review, approval or ratification of transactions, such as those described above, with our executive officers, directors and significant stockholders. We may establish formal written policies and procedures in the future, once we have sufficient resources and have appointed additional directors, so that such transactions will be subject to the review, approval or ratification of our board of directors, or an appropriate committee thereof. On a going forward basis, our directors will continue to approve any related party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beneficial ownership of our common stock as of August 31, 2020 and as adjusted to reflect the sale of the Class A common stock offered by us in this offering, for:</w:t>
      </w:r>
    </w:p>
    <w:p>
      <w:pPr>
        <w:spacing w:after="0" w:line="170" w:lineRule="exact"/>
        <w:rPr>
          <w:sz w:val="20"/>
          <w:szCs w:val="20"/>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Class A common stock and Class B common stock (by number or by voting power);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Applicable percentage ownership before the offering is based on shares of our Class A common stock and shares of our Class B common stock outstanding as of , 2020 (as adjusted to give effect to the corporate conversion). Applicable percentage ownership after the offering is based on shares of our Class A common stock and shares of our Class B common stock outstanding immediately after the completion of this offering, assuming no exercise by the underwriters of their option to purchase additional shares of our Class A common stock.</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are currently exercisable or will become exercisable within 60 days of the date of August 31, 2020, are considered outstanding, although these shares are not considered outstanding for purposes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indicated, the address of all listed stockholders is c/o Motorsport Games Inc., 5972 NE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Avenue, Miami, FL 33137.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Shares Beneficially Owned</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w w:val="88"/>
              </w:rPr>
              <w:t>Shares Beneficially Owned</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8"/>
                <w:szCs w:val="18"/>
                <w:b w:val="1"/>
                <w:bCs w:val="1"/>
                <w:color w:val="auto"/>
                <w:w w:val="93"/>
              </w:rPr>
              <w:t>Prior to this Offering</w:t>
            </w: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w w:val="92"/>
              </w:rPr>
              <w:t>Following this Offering</w:t>
            </w: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5"/>
          </w:tcPr>
          <w:p>
            <w:pPr>
              <w:ind w:left="280"/>
              <w:spacing w:after="0"/>
              <w:rPr>
                <w:sz w:val="20"/>
                <w:szCs w:val="20"/>
                <w:color w:val="auto"/>
              </w:rPr>
            </w:pPr>
            <w:r>
              <w:rPr>
                <w:rFonts w:ascii="Arial" w:cs="Arial" w:eastAsia="Arial" w:hAnsi="Arial"/>
                <w:sz w:val="18"/>
                <w:szCs w:val="18"/>
                <w:b w:val="1"/>
                <w:bCs w:val="1"/>
                <w:color w:val="auto"/>
              </w:rPr>
              <w:t>Class A</w:t>
            </w:r>
          </w:p>
        </w:tc>
        <w:tc>
          <w:tcPr>
            <w:tcW w:w="100" w:type="dxa"/>
            <w:vAlign w:val="bottom"/>
          </w:tcPr>
          <w:p>
            <w:pPr>
              <w:spacing w:after="0"/>
              <w:rPr>
                <w:sz w:val="20"/>
                <w:szCs w:val="20"/>
                <w:color w:val="auto"/>
              </w:rPr>
            </w:pPr>
          </w:p>
        </w:tc>
        <w:tc>
          <w:tcPr>
            <w:tcW w:w="14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Class B</w:t>
            </w:r>
          </w:p>
        </w:tc>
        <w:tc>
          <w:tcPr>
            <w:tcW w:w="40" w:type="dxa"/>
            <w:vAlign w:val="bottom"/>
          </w:tcPr>
          <w:p>
            <w:pPr>
              <w:spacing w:after="0"/>
              <w:rPr>
                <w:sz w:val="20"/>
                <w:szCs w:val="2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 of</w:t>
            </w:r>
          </w:p>
        </w:tc>
        <w:tc>
          <w:tcPr>
            <w:tcW w:w="1380" w:type="dxa"/>
            <w:vAlign w:val="bottom"/>
            <w:gridSpan w:val="5"/>
          </w:tcPr>
          <w:p>
            <w:pPr>
              <w:ind w:left="340"/>
              <w:spacing w:after="0"/>
              <w:rPr>
                <w:sz w:val="20"/>
                <w:szCs w:val="20"/>
                <w:color w:val="auto"/>
              </w:rPr>
            </w:pPr>
            <w:r>
              <w:rPr>
                <w:rFonts w:ascii="Arial" w:cs="Arial" w:eastAsia="Arial" w:hAnsi="Arial"/>
                <w:sz w:val="18"/>
                <w:szCs w:val="18"/>
                <w:b w:val="1"/>
                <w:bCs w:val="1"/>
                <w:color w:val="auto"/>
              </w:rPr>
              <w:t>Class A</w:t>
            </w:r>
          </w:p>
        </w:tc>
        <w:tc>
          <w:tcPr>
            <w:tcW w:w="100" w:type="dxa"/>
            <w:vAlign w:val="bottom"/>
          </w:tcPr>
          <w:p>
            <w:pPr>
              <w:spacing w:after="0"/>
              <w:rPr>
                <w:sz w:val="20"/>
                <w:szCs w:val="20"/>
                <w:color w:val="auto"/>
              </w:rPr>
            </w:pPr>
          </w:p>
        </w:tc>
        <w:tc>
          <w:tcPr>
            <w:tcW w:w="13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Class B</w:t>
            </w:r>
          </w:p>
        </w:tc>
        <w:tc>
          <w:tcPr>
            <w:tcW w:w="60" w:type="dxa"/>
            <w:vAlign w:val="bottom"/>
          </w:tcPr>
          <w:p>
            <w:pPr>
              <w:spacing w:after="0"/>
              <w:rPr>
                <w:sz w:val="20"/>
                <w:szCs w:val="20"/>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0"/>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Voting</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Voting</w:t>
            </w:r>
          </w:p>
        </w:tc>
        <w:tc>
          <w:tcPr>
            <w:tcW w:w="0" w:type="dxa"/>
            <w:vAlign w:val="bottom"/>
          </w:tcPr>
          <w:p>
            <w:pPr>
              <w:spacing w:after="0"/>
              <w:rPr>
                <w:sz w:val="1"/>
                <w:szCs w:val="1"/>
                <w:color w:val="auto"/>
              </w:rPr>
            </w:pPr>
          </w:p>
        </w:tc>
      </w:tr>
      <w:tr>
        <w:trPr>
          <w:trHeight w:val="278"/>
        </w:trPr>
        <w:tc>
          <w:tcPr>
            <w:tcW w:w="374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Shares</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Shares</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960" w:type="dxa"/>
            <w:vAlign w:val="bottom"/>
            <w:gridSpan w:val="3"/>
          </w:tcPr>
          <w:p>
            <w:pPr>
              <w:jc w:val="center"/>
              <w:ind w:right="220"/>
              <w:spacing w:after="0" w:line="271" w:lineRule="exact"/>
              <w:rPr>
                <w:sz w:val="20"/>
                <w:szCs w:val="20"/>
                <w:color w:val="auto"/>
              </w:rPr>
            </w:pPr>
            <w:r>
              <w:rPr>
                <w:rFonts w:ascii="Arial" w:cs="Arial" w:eastAsia="Arial" w:hAnsi="Arial"/>
                <w:sz w:val="18"/>
                <w:szCs w:val="18"/>
                <w:b w:val="1"/>
                <w:bCs w:val="1"/>
                <w:color w:val="auto"/>
                <w:w w:val="84"/>
              </w:rPr>
              <w:t>Power</w:t>
            </w:r>
            <w:r>
              <w:rPr>
                <w:rFonts w:ascii="Arial" w:cs="Arial" w:eastAsia="Arial" w:hAnsi="Arial"/>
                <w:sz w:val="29"/>
                <w:szCs w:val="29"/>
                <w:b w:val="1"/>
                <w:bCs w:val="1"/>
                <w:color w:val="auto"/>
                <w:w w:val="84"/>
                <w:vertAlign w:val="superscript"/>
              </w:rPr>
              <w:t>(1)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Shares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Shares</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820" w:type="dxa"/>
            <w:vAlign w:val="bottom"/>
            <w:gridSpan w:val="3"/>
          </w:tcPr>
          <w:p>
            <w:pPr>
              <w:jc w:val="center"/>
              <w:ind w:right="40"/>
              <w:spacing w:after="0" w:line="271" w:lineRule="exact"/>
              <w:rPr>
                <w:sz w:val="20"/>
                <w:szCs w:val="20"/>
                <w:color w:val="auto"/>
              </w:rPr>
            </w:pPr>
            <w:r>
              <w:rPr>
                <w:rFonts w:ascii="Arial" w:cs="Arial" w:eastAsia="Arial" w:hAnsi="Arial"/>
                <w:sz w:val="18"/>
                <w:szCs w:val="18"/>
                <w:b w:val="1"/>
                <w:bCs w:val="1"/>
                <w:color w:val="auto"/>
                <w:w w:val="84"/>
              </w:rPr>
              <w:t>Power</w:t>
            </w:r>
            <w:r>
              <w:rPr>
                <w:rFonts w:ascii="Arial" w:cs="Arial" w:eastAsia="Arial" w:hAnsi="Arial"/>
                <w:sz w:val="29"/>
                <w:szCs w:val="29"/>
                <w:b w:val="1"/>
                <w:bCs w:val="1"/>
                <w:color w:val="auto"/>
                <w:w w:val="84"/>
                <w:vertAlign w:val="superscript"/>
              </w:rPr>
              <w:t>(1)</w:t>
            </w:r>
          </w:p>
        </w:tc>
        <w:tc>
          <w:tcPr>
            <w:tcW w:w="0" w:type="dxa"/>
            <w:vAlign w:val="bottom"/>
          </w:tcPr>
          <w:p>
            <w:pPr>
              <w:spacing w:after="0"/>
              <w:rPr>
                <w:sz w:val="1"/>
                <w:szCs w:val="1"/>
                <w:color w:val="auto"/>
              </w:rPr>
            </w:pPr>
          </w:p>
        </w:tc>
      </w:tr>
      <w:tr>
        <w:trPr>
          <w:trHeight w:val="216"/>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Motorsport Network, LLC(2)</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Neil Anderson</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Francesco Piovanetti</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Dmitry Kozko(4)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Jonathan New</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Stephen Hood</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Directors and executive officers as a group (6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persons)</w:t>
            </w:r>
          </w:p>
        </w:tc>
        <w:tc>
          <w:tcPr>
            <w:tcW w:w="1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firstLine="656"/>
        <w:spacing w:after="0" w:line="259" w:lineRule="auto"/>
        <w:tabs>
          <w:tab w:leader="none" w:pos="903"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Percentage of total voting power represents voting power with respect to all shares of our Class A and Class B common stock, as a single class. The holders of our Class B common stock are entitled to ten votes per share, and holders of our Class A common stock are entitled to one vote per share. See the section titled “Description of Capital Stock—Common Stock” for additional information about the voting rights of our Class A and Class B common stock.</w:t>
      </w:r>
    </w:p>
    <w:p>
      <w:pPr>
        <w:spacing w:after="0" w:line="186" w:lineRule="exact"/>
        <w:rPr>
          <w:rFonts w:ascii="Arial" w:cs="Arial" w:eastAsia="Arial" w:hAnsi="Arial"/>
          <w:sz w:val="18"/>
          <w:szCs w:val="18"/>
          <w:color w:val="auto"/>
        </w:rPr>
      </w:pPr>
    </w:p>
    <w:p>
      <w:pPr>
        <w:ind w:firstLine="656"/>
        <w:spacing w:after="0" w:line="277" w:lineRule="auto"/>
        <w:tabs>
          <w:tab w:leader="none" w:pos="9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shares held of record by Motorsport Network. Mike Zoi is the managing member of Motorsport Network and has sole voting and dispositive power with respect to the shares held by Motorsport Network.</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shares of our Class A common stock to be issued to Mr. Piovanetti in connection with this offering under the 2020 Plan, which represents a stock award equal to $100,000 divided by the initial public offering price in this offering (see “Executive Compensation—Actions Taken in Connection with This Offering”).</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Does not include shares of our Class A common stock that may be issued outside of the 2020 Plan to Dmitry Kozko, our Chief Executive</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Officer, subject to the satisfaction of certain conditions as set forth in his employment agreement with us, including (i) up to shares that may be issued in connection with this offering representing 1.0% of the expected issued and outstanding shares of our Class A common stock as of the closing date</w:t>
      </w:r>
    </w:p>
    <w:p>
      <w:pPr>
        <w:jc w:val="both"/>
        <w:spacing w:after="0" w:line="255" w:lineRule="auto"/>
        <w:rPr>
          <w:sz w:val="20"/>
          <w:szCs w:val="20"/>
          <w:color w:val="auto"/>
        </w:rPr>
      </w:pPr>
      <w:r>
        <w:rPr>
          <w:rFonts w:ascii="Arial" w:cs="Arial" w:eastAsia="Arial" w:hAnsi="Arial"/>
          <w:sz w:val="18"/>
          <w:szCs w:val="18"/>
          <w:color w:val="auto"/>
        </w:rPr>
        <w:t>of this offering and (ii) shares issuable upon exercise of stock options that may be granted in connection with this offering representing 2.0% of the expected issued and outstanding shares of our Class A common stock as of the closing date of this offering (see “Executive Compensation—Executive Employment Arrangements—Employment Agreement with Dmitry Kozko”).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727"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of our capital stock and certain provisions of our certificate of incorporation and bylaws are summaries and are qualified by reference to the certificate of incorporation and the bylaws that will be in effect upon completion of this offering. Copies of these documents have been filed with the SEC as exhibits to our registration statement, of which this prospectus forms a part. The descriptions of our common stock and preferred stock reflect changes to our capital structure that will be in effect upon completion of this offering.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Upon the closing of this offering, our certificate of incorporation and bylaws will provide for two classes of common stock: Class A common stock and Class B common stock. In addition, our certificate of incorporation and bylaws will authorize shares of undesignated preferred stock, the rights, preferences and privileges of which may be designated from time to time by our board of directors.</w:t>
      </w:r>
    </w:p>
    <w:p>
      <w:pPr>
        <w:sectPr>
          <w:pgSz w:w="11900" w:h="16838" w:orient="portrait"/>
          <w:cols w:equalWidth="0" w:num="1">
            <w:col w:w="11240"/>
          </w:cols>
          <w:pgMar w:left="320" w:top="661" w:right="3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share,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hanging="360"/>
        <w:spacing w:after="0" w:line="277" w:lineRule="auto"/>
        <w:rPr>
          <w:sz w:val="20"/>
          <w:szCs w:val="20"/>
          <w:color w:val="auto"/>
        </w:rPr>
      </w:pPr>
      <w:r>
        <w:rPr>
          <w:rFonts w:ascii="Arial" w:cs="Arial" w:eastAsia="Arial" w:hAnsi="Arial"/>
          <w:sz w:val="18"/>
          <w:szCs w:val="18"/>
          <w:color w:val="auto"/>
        </w:rPr>
        <w:t>Following the closing of this offering, our authorized capital stock will consist of</w:t>
      </w:r>
      <w:r>
        <w:rPr>
          <w:sz w:val="20"/>
          <w:szCs w:val="20"/>
          <w:color w:val="auto"/>
        </w:rPr>
        <w:t xml:space="preserve"> </w:t>
      </w:r>
      <w:r>
        <w:rPr>
          <w:rFonts w:ascii="Arial" w:cs="Arial" w:eastAsia="Arial" w:hAnsi="Arial"/>
          <w:sz w:val="18"/>
          <w:szCs w:val="18"/>
          <w:color w:val="auto"/>
        </w:rPr>
        <w:t>shares of Class A common stock, par value $0.0001 per shares of Class B common stock, par value $0.0001 per share and shares of preferred stock, par value $0.0001 per share.</w:t>
      </w:r>
    </w:p>
    <w:p>
      <w:pPr>
        <w:spacing w:after="0" w:line="166" w:lineRule="exact"/>
        <w:rPr>
          <w:sz w:val="20"/>
          <w:szCs w:val="20"/>
          <w:color w:val="auto"/>
        </w:rPr>
      </w:pPr>
    </w:p>
    <w:p>
      <w:pPr>
        <w:sectPr>
          <w:pgSz w:w="11900" w:h="16838" w:orient="portrait"/>
          <w:cols w:equalWidth="0" w:num="2">
            <w:col w:w="440" w:space="580"/>
            <w:col w:w="10220"/>
          </w:cols>
          <w:pgMar w:left="320" w:top="66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Prior to the closing of this offering (after giving effect to the corporate conversion) there will be shares of Class A common stock and shares of Class B common stock outstanding, which will be held of record by one stockholder. Upon the closing of this offering, there will be shares of Class A common stock and shares of Class B common stock outstanding, assuming no exercise of the underwriters’ option to purchase additional shares of our Class A common stock for us, after giving effect to the sale of the shares of our Class A common stock offered hereby.</w:t>
      </w:r>
    </w:p>
    <w:p>
      <w:pPr>
        <w:sectPr>
          <w:pgSz w:w="11900" w:h="16838" w:orient="portrait"/>
          <w:cols w:equalWidth="0" w:num="1">
            <w:col w:w="11240"/>
          </w:cols>
          <w:pgMar w:left="320" w:top="661" w:right="339" w:bottom="1440" w:gutter="0" w:footer="0" w:header="0"/>
          <w:type w:val="continuous"/>
        </w:sectPr>
      </w:pP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Motorsport Network will be the only holder of shares of our Class B common stock and will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 Motorsport Network will be adjusted in equal proportions for any stock dividend, stock split or similar transaction undertaken by the Company.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Holders of our Class A common stock will be entitled to one vote for each share held on all matters submitted to a vote of stockholders and holders of our Class B common stock will be entitled to 10 votes for each share held on all matters submitted to a vote of stockholders. The holders of our Class A common stock and Class B common stock will vote together as a single class, unless otherwise required by law. Under our certificate of incorporation, approval of the holders of a majority of the Class B common stock will be required to increase or decrease the number of authorized shares of our Class B common stock, and the approval of two-thirds of the Class B common stock will be required to amend or repeal, or adopt any provision inconsistent with, or otherwise alter, any provision of our certificate of incorporation that modifies the voting, par value, conversion or other rights, powers, preferences, special rights, privileges or restrictions of the Class B common stock. In addition, Delaware law could require either holders of our Class A common stock or our Class B common stock to vote separately as a single class in the following circumstances:</w:t>
      </w:r>
    </w:p>
    <w:p>
      <w:pPr>
        <w:spacing w:after="0" w:line="178" w:lineRule="exact"/>
        <w:rPr>
          <w:sz w:val="20"/>
          <w:szCs w:val="20"/>
          <w:color w:val="auto"/>
        </w:rPr>
      </w:pPr>
    </w:p>
    <w:p>
      <w:pPr>
        <w:ind w:left="9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were to seek to amend our certificate of incorporation to increase or decrease the aggregate number of authorized shares or par value of a class of stock, then that class would be required to vote separately to approve the proposed amendment;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were to seek to amend our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shares of Class A common stock are entitled to dividends when and as declared by our board of directors from funds legally available therefor if, as and when determined by our board of directors in its sole discretion, subject to provisions of law, and any provision of our certificate of incorporation, as amended from time to time. The holder of Class B common stock will not be entitled to receive any dividends with respect to the shares of Class B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05" w:name="page106"/>
    <w:bookmarkEnd w:id="105"/>
    <w:p>
      <w:pPr>
        <w:ind w:left="66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our Class A common stock and any participating preferred stock outstanding at that time will be entitled to share ratably in the net assets legally available for distribution to stockholders after the payment of or provision for all of our debts and other liabilities, and the preferential rights of and the payment of liquidation preferences, if any, on any outstanding shares of preferred stock. The holder of Class B common stock will not be entitled to receive any liquidation distributions with respect to the shares of Class B common stock.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outstanding shares of common stock are, and the common stock to be outstanding upon completion of this offering will be, duly authorized, validly issued, fully paid and non-assessable.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preemptive, conversion or redemption privileges, nor sinking fund provisions with respect to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will have the authority, subject to limitations prescribed by Delaware law, to issue up to shares of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Certain provisions of Delaware law, as well as our certificate of incorporation and our bylaws that will become effective immediately prior to the completion of this offering, may have the effect of delaying, deferring or discouraging another person from acquiring control of us. These provisions include the items described below.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we have a class of voting stock that is either listed on a national securities exchange or held of record by more than 2,000 stockholders, we will become subject to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87" w:lineRule="exact"/>
        <w:rPr>
          <w:sz w:val="20"/>
          <w:szCs w:val="20"/>
          <w:color w:val="auto"/>
        </w:rPr>
      </w:pPr>
    </w:p>
    <w:p>
      <w:pPr>
        <w:ind w:left="980" w:right="2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jc w:val="both"/>
        <w:ind w:firstLine="648"/>
        <w:spacing w:after="0" w:line="263" w:lineRule="auto"/>
        <w:rPr>
          <w:sz w:val="20"/>
          <w:szCs w:val="20"/>
          <w:color w:val="auto"/>
        </w:rPr>
      </w:pPr>
      <w:r>
        <w:rPr>
          <w:rFonts w:ascii="Arial" w:cs="Arial" w:eastAsia="Arial" w:hAnsi="Arial"/>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an amendment approved by at least a majority of the outstanding voting shares. We have not opted out of these provisions. As a result, mergers or other takeover or change in control attempts of us may be discouraged or prevented. These provisions may have the effect of delaying, deferring or preventing changes in control of our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our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Dual Class Stock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described above in “—Common Stock—Voting,” our certificate of incorporation provides for a dual class common stock structure, which will provide the holder of Class B common stock with significant influence over matters requiring stockholder approval, including the election of directors and significant corporate transactions, such as a merger or other sale of our Company or its assets.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share of Class A common stock is entitled to one vote, while each share of Class B common stock is entitled to ten votes. Following and effective upon the consummation of the corporate conversion, 100% of the membership interests currently held by the Company’s sole member, Motorsport Network, will convert into an aggregate of (i) shares of Class A common stock, based upon the value of the Company at the time of this offering with a</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value implied by the offering price of the shares of Class A common stock sold in this offering, and (ii) shares of Class B common stock, representing all of the outstanding shares of Class B common stock. Motorsport Network will be the only holder of shares of our Class B common stock and will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 Motorsport Network will be adjusted in equal proportions for any stock dividend, stock split or similar transaction undertaken by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Vacancies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certificate of incorporation and bylaws will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Special Meeting of Stockholders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and bylaws will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will provide advance notice procedures for stockholders seeking to bring business before our annual meeting of stockholders or to nominate candidates for election as directors at our annual meeting of stockholders. Our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i w:val="1"/>
          <w:iCs w:val="1"/>
          <w:color w:val="auto"/>
        </w:rPr>
        <w:t>Removal of Directors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certificate of incorporation will provide that directors may only be removed for cause and upon the affirmative vote of a majority of the outstanding voting power of our capital stock voting together as a single class.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Delaware General Corporation Law provides that stockholders are not entitled to cumulate votes in the election of directors unless a corporation’s certificate of incorporation provides otherwise. Our certificate of incorporation does not provide for cumulative voting.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Charter and Bylaws Provisions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Amendments to our certificate of incorporation will require the approval of two-thirds of the outstanding voting power of our common stock. Our certificate of incorporation and bylaws will provide that approval of stockholders holding two-thirds of our outstanding voting power voting as a single class is required for stockholders to amend or adopt any provision of our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will have the authority, without further action by our stockholders, to issue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Limits on Ability of Stockholders to Act by Written Consent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certificate of incorporation and bylaws will provide that our stockholders may not act by written consent. This limit on the ability of our stockholders to act by written consent may lengthen the amount of time required to take stockholder actions. As a result, no stockholder, regardless of how large its holdings of our stock are, would be able to amend our bylaws or remove directors without holding a stockholders’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certificate of incorporation and bylaws will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or officers to us or our stockholders, (iii) any action asserting a claim against us arising pursuant to any provision of the Delaware General Corporation Law or our certificate of incorporation or bylaws or (iv) any action asserting a claim that is governed by the internal affairs doctrine, shall be the Court of Chancery of the State of Delaware. Nothing in our bylaws precludes stockholders that assert claims under the Securities Act from bringing such claims in state or federal court, subject to applicable law.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Class A common stock is Worldwide Stock Transfer, LLC. The transfer agent’s address is One University Plaza, Suite 505, Hackensack, New Jersey 07601 and its telephone number is (201) 820-2008.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apply to have our Class A common stock listed on the Nasdaq Capital Market under the symbol “MSGM.”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Immediately prior to this offering, there was no public market for our Class A common stock, and there can be no assurance that a significant public market for our Class A common stock will develop or be sustained after this offering. Future sales of substantial amounts of our Class A common stock in the public market (including shares issued on the exercise of options, warrants or convertible securities, if any) or the perception that such sales may occur or the availability of such shares for sale in the public market, after this offering could adversely affect the prevailing market price of our Class A common stock.</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Based on our shares outstanding as of the date of this prospectus, upon the completion of this offering, a total of shares of Class A common stock will be outstanding, assuming no exercise of the underwriters’ option to purchase additional shares of our Class A common stock from us. Of these shares, all of the Class A common stock sold in this offering will be freely tradable in the public market without restriction or further registration under the Securities Act, unless these shares are held by our “affiliates,” as that term is defined in Rule 144 under the Securities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remaining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under the Securities Act, which are summarized below. Restricted securities may also be sold outside of the United States to non-U.S. persons in accordance with Rule 904 of Regulation 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lock-up and market standoff agreements described below and subject to the provisions of Rule 144, shares of our Class A common stock will be available for sale in the public market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w w:val="97"/>
              </w:rPr>
              <w:t>beginning on the date of this prospectus, all</w:t>
            </w:r>
          </w:p>
        </w:tc>
        <w:tc>
          <w:tcPr>
            <w:tcW w:w="6840" w:type="dxa"/>
            <w:vAlign w:val="bottom"/>
            <w:gridSpan w:val="3"/>
          </w:tcPr>
          <w:p>
            <w:pPr>
              <w:jc w:val="right"/>
              <w:spacing w:after="0"/>
              <w:rPr>
                <w:sz w:val="20"/>
                <w:szCs w:val="20"/>
                <w:color w:val="auto"/>
              </w:rPr>
            </w:pPr>
            <w:r>
              <w:rPr>
                <w:rFonts w:ascii="Arial" w:cs="Arial" w:eastAsia="Arial" w:hAnsi="Arial"/>
                <w:sz w:val="18"/>
                <w:szCs w:val="18"/>
                <w:color w:val="auto"/>
                <w:w w:val="96"/>
              </w:rPr>
              <w:t>shares of our Class A common stock sold in this offering will be immediately available for</w:t>
            </w:r>
          </w:p>
        </w:tc>
      </w:tr>
      <w:tr>
        <w:trPr>
          <w:trHeight w:val="230"/>
        </w:trPr>
        <w:tc>
          <w:tcPr>
            <w:tcW w:w="22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sale in the public market;</w:t>
            </w:r>
          </w:p>
        </w:tc>
        <w:tc>
          <w:tcPr>
            <w:tcW w:w="5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100" w:type="dxa"/>
            <w:vAlign w:val="bottom"/>
            <w:gridSpan w:val="2"/>
          </w:tcPr>
          <w:p>
            <w:pPr>
              <w:ind w:left="100"/>
              <w:spacing w:after="0"/>
              <w:rPr>
                <w:sz w:val="20"/>
                <w:szCs w:val="20"/>
                <w:color w:val="auto"/>
              </w:rPr>
            </w:pPr>
            <w:r>
              <w:rPr>
                <w:rFonts w:ascii="Arial" w:cs="Arial" w:eastAsia="Arial" w:hAnsi="Arial"/>
                <w:sz w:val="18"/>
                <w:szCs w:val="18"/>
                <w:color w:val="auto"/>
                <w:w w:val="95"/>
              </w:rPr>
              <w:t>beginning 181 days after the date of this prospectus,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w w:val="94"/>
              </w:rPr>
              <w:t>additional shares of our Class A common stock may become eligible for sale in the</w:t>
            </w:r>
          </w:p>
        </w:tc>
      </w:tr>
      <w:tr>
        <w:trPr>
          <w:trHeight w:val="216"/>
        </w:trPr>
        <w:tc>
          <w:tcPr>
            <w:tcW w:w="220" w:type="dxa"/>
            <w:vAlign w:val="bottom"/>
          </w:tcPr>
          <w:p>
            <w:pPr>
              <w:spacing w:after="0"/>
              <w:rPr>
                <w:sz w:val="18"/>
                <w:szCs w:val="18"/>
                <w:color w:val="auto"/>
              </w:rPr>
            </w:pPr>
          </w:p>
        </w:tc>
        <w:tc>
          <w:tcPr>
            <w:tcW w:w="9640" w:type="dxa"/>
            <w:vAlign w:val="bottom"/>
            <w:gridSpan w:val="3"/>
          </w:tcPr>
          <w:p>
            <w:pPr>
              <w:ind w:left="100"/>
              <w:spacing w:after="0"/>
              <w:rPr>
                <w:sz w:val="20"/>
                <w:szCs w:val="20"/>
                <w:color w:val="auto"/>
              </w:rPr>
            </w:pPr>
            <w:r>
              <w:rPr>
                <w:rFonts w:ascii="Arial" w:cs="Arial" w:eastAsia="Arial" w:hAnsi="Arial"/>
                <w:sz w:val="18"/>
                <w:szCs w:val="18"/>
                <w:color w:val="auto"/>
                <w:w w:val="96"/>
              </w:rPr>
              <w:t>public market upon the satisfaction of certain conditions as set forth in the section titled “— Lock-Up Arrangements,” of which</w:t>
            </w:r>
          </w:p>
        </w:tc>
        <w:tc>
          <w:tcPr>
            <w:tcW w:w="720" w:type="dxa"/>
            <w:vAlign w:val="bottom"/>
          </w:tcPr>
          <w:p>
            <w:pPr>
              <w:jc w:val="right"/>
              <w:spacing w:after="0"/>
              <w:rPr>
                <w:sz w:val="20"/>
                <w:szCs w:val="20"/>
                <w:color w:val="auto"/>
              </w:rPr>
            </w:pPr>
            <w:r>
              <w:rPr>
                <w:rFonts w:ascii="Arial" w:cs="Arial" w:eastAsia="Arial" w:hAnsi="Arial"/>
                <w:sz w:val="18"/>
                <w:szCs w:val="18"/>
                <w:color w:val="auto"/>
              </w:rPr>
              <w:t>shares</w:t>
            </w:r>
          </w:p>
        </w:tc>
      </w:tr>
      <w:tr>
        <w:trPr>
          <w:trHeight w:val="230"/>
        </w:trPr>
        <w:tc>
          <w:tcPr>
            <w:tcW w:w="220" w:type="dxa"/>
            <w:vAlign w:val="bottom"/>
          </w:tcPr>
          <w:p>
            <w:pPr>
              <w:spacing w:after="0"/>
              <w:rPr>
                <w:sz w:val="20"/>
                <w:szCs w:val="20"/>
                <w:color w:val="auto"/>
              </w:rPr>
            </w:pPr>
          </w:p>
        </w:tc>
        <w:tc>
          <w:tcPr>
            <w:tcW w:w="9640" w:type="dxa"/>
            <w:vAlign w:val="bottom"/>
            <w:gridSpan w:val="3"/>
          </w:tcPr>
          <w:p>
            <w:pPr>
              <w:ind w:left="100"/>
              <w:spacing w:after="0"/>
              <w:rPr>
                <w:sz w:val="20"/>
                <w:szCs w:val="20"/>
                <w:color w:val="auto"/>
              </w:rPr>
            </w:pPr>
            <w:r>
              <w:rPr>
                <w:rFonts w:ascii="Arial" w:cs="Arial" w:eastAsia="Arial" w:hAnsi="Arial"/>
                <w:sz w:val="18"/>
                <w:szCs w:val="18"/>
                <w:color w:val="auto"/>
              </w:rPr>
              <w:t>would be held by affiliates and subject to the volume and other restrictions of Rule 144, as described below.</w:t>
            </w:r>
          </w:p>
        </w:tc>
        <w:tc>
          <w:tcPr>
            <w:tcW w:w="7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compliance with the public information requirements of Rule 144 and the expiration of the lock-up agreements described below.</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184" w:lineRule="exact"/>
        <w:rPr>
          <w:sz w:val="20"/>
          <w:szCs w:val="20"/>
          <w:color w:val="auto"/>
        </w:rPr>
      </w:pPr>
    </w:p>
    <w:p>
      <w:pPr>
        <w:ind w:left="980" w:hanging="319"/>
        <w:spacing w:after="0" w:line="308" w:lineRule="auto"/>
        <w:tabs>
          <w:tab w:leader="none" w:pos="960" w:val="left"/>
        </w:tabs>
        <w:rPr>
          <w:sz w:val="20"/>
          <w:szCs w:val="20"/>
          <w:color w:val="auto"/>
        </w:rPr>
      </w:pPr>
      <w:r>
        <w:rPr>
          <w:rFonts w:ascii="Arial" w:cs="Arial" w:eastAsia="Arial" w:hAnsi="Arial"/>
          <w:sz w:val="17"/>
          <w:szCs w:val="17"/>
          <w:color w:val="auto"/>
        </w:rPr>
        <w:t>●</w:t>
        <w:tab/>
        <w:t>1% of the number of shares of our Class A common stock then outstanding, which will equal approximately shares immediately after this offering, assuming no exercise of the underwriters’ option to purchase additional shares of our Class A common stock from us; or</w:t>
      </w:r>
    </w:p>
    <w:p>
      <w:pPr>
        <w:spacing w:after="0" w:line="146" w:lineRule="exact"/>
        <w:rPr>
          <w:sz w:val="20"/>
          <w:szCs w:val="20"/>
          <w:color w:val="auto"/>
        </w:rPr>
      </w:pPr>
    </w:p>
    <w:p>
      <w:pPr>
        <w:ind w:left="98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Nasdaq Capital Market during the four calendar weeks preceding the filing of a notice on Form 144 with respect to such sale.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file one or more registration statements on Form S-8 under the Securities Act with the SEC to register the offer and sale of shares of our Class A common stock that are issuable under the 2020 Plan. Any such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our officers and directors and Motorsport Network expect to enter into separate agreements whereby, without the prior written consent of The Benchmark Company, LLC, we and they will not, subject to limited exceptions, directly or indirectly sell or dispose of any shares of our common stock or any securities convertible into or exchangeable or exercisable for shares of our common stock for a period of 180 days after the date of this prospectus. See “Underwriting—No Sales of Common Stock” for additional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45"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CERTAIN MATERIAL UNITED STATES FEDERAL INCOME TAX CONSIDERATIONS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HOLDERS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is a summary of certain U.S. federal income tax consequences relevant to the purchase, ownership, and disposition of our Class A common stock issued pursuant to this offering by non-U.S. holders (as defined below), but does not purport to be a complete analysis of all the potential tax considerations relating thereto. This summary is based upon the provisions of the Code, Treasury regulations promulgated or proposed thereunder, judicial decisions, and published rulings and administrative pronouncements of the Internal Revenue Service (“IRS”), in each case in effect as of the date hereof. These authorities may be changed, possibly with retroactive effect, so as to result in U.S. federal income tax consequences different from those set forth below. We have not sought, and will not seek, either an opinion from legal counsel, or any rulings from the IRS regarding the matters discussed below, and there can be no assurance that the IRS will not take a position contrary to those discussed below or that any position taken by the IRS will not be sustained.</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summary is limited to non-U.S. holders who purchase our Class A common stock pursuant to this offering and who hold shares of our Class A common stock as capital assets within the meaning of Code Section 1221 (generally, property held for investment purposes). This summary does not address the tax consequences arising under the laws of any non-U.S., state, or local jurisdiction or under U.S. federal gift and estate tax laws or the effect, if any, of the alternative minimum tax, base erosion and anti-abuse tax, the Medicare contribution tax imposed on net investment income, or the application, if any, of Code Section 451 with respect to conforming the timing of income accruals to financial statements. In addition, this discussion does not address tax considerations applicable to a non-U.S. holder’s particular circumstances or to a non-U.S. holder that may be subject to special tax rules, including, without limitation:</w:t>
      </w:r>
    </w:p>
    <w:p>
      <w:pPr>
        <w:spacing w:after="0" w:line="195"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partnerships or other entities or arrangements classified as partnerships for U.S. federal income tax purposes and investors therein;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expatriates and former citizens or former long-term residents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IRC and entities all of the interest of which are held by qualified foreign pension funds;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IRC.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if a partnership (including an entity or arrangement classified as a partnership for U.S. federal income tax purposes) holds our Class A common stock, the tax treatment of a partner generally will depend on the status of the partner and upon the activities of the partner and the partnership. Accordingly, partnerships that hold our Class A common stock, and partners in such partnerships, should consult their tax advisors respecting the U.S. federal income tax treatment in light of their particular circumstances.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0" w:name="page111"/>
    <w:bookmarkEnd w:id="110"/>
    <w:p>
      <w:pPr>
        <w:jc w:val="both"/>
        <w:ind w:firstLine="648"/>
        <w:spacing w:after="0" w:line="257" w:lineRule="auto"/>
        <w:rPr>
          <w:sz w:val="20"/>
          <w:szCs w:val="20"/>
          <w:color w:val="auto"/>
        </w:rPr>
      </w:pPr>
      <w:r>
        <w:rPr>
          <w:rFonts w:ascii="Arial" w:cs="Arial" w:eastAsia="Arial" w:hAnsi="Arial"/>
          <w:sz w:val="18"/>
          <w:szCs w:val="18"/>
          <w:color w:val="auto"/>
        </w:rPr>
        <w:t>YOU SHOULD CONSULT YOUR TAX ADVISOR WITH RESPECT TO THE APPLICATION OF THE U.S. FEDERAL INCOME TAX LAWS TO YOUR PARTICULAR SITUATION, AS WELL AS ANY TAX CONSEQUENCES OF THE PURCHASE, OWNERSHIP, AND DISPOSITION OF OUR CLASS A COMMON STOCK ARISING UNDER THE U.S. FEDERAL ESTATE OR GIFT TAX RULES, U.S. ALTERNATIVE MINIMUM TAX RULES, OR UNDER THE LAWS OF ANY NON-U.S., STATE, OR LOCAL TAXING JURISDICTION OR UNDER ANY APPLICABLE INCOME TAX TREATY.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this discussion, you are a “non-U.S. holder” if you are a beneficial owner of our Class A common stock and you are neither a “U.S. person” nor an entity or arrangement classified as a partnership for U.S. federal income tax purposes. A U.S. person is any person that, for U.S. federal income tax purposes, is or is treated as:</w:t>
      </w:r>
    </w:p>
    <w:p>
      <w:pPr>
        <w:spacing w:after="0" w:line="184"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(or deemed to be created or organized) in the United States or under the laws of the United States, any state thereof, or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which has one or more “United States person” (as defined in the IRC) who has the authority to control all substantial decisions of the trust or (y) which has made a valid election under applicable Treasury regulations to be treated as a United States person for U.S. federal income tax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expect to make any distributions for the foreseeable future. However, if we do make distributions on our Class A common stock, other than certain pro rata distributions of Class A common stock, those distributions will constitute dividends for U.S. federal income tax purposes to the extent paid from our current or accumulated earnings and profits, as determined under U.S. federal income tax principles.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dividend paid to you generally will be subject to U.S. federal withholding tax at a rate of 30% of the gross amount of the dividend, or such lower rate as may be specified by an applicable income tax treaty, except to the extent that the dividends are “effectively connected” dividends, as described below. In order to claim treaty benefits to which you are entitled, you must timely provide us with a properly completed IRS Form W-8BEN or W-8BEN-E (or other applicable or successor form) certifying under penalty of perjury that you (i) are not a “United States person” as defined under the Code, and (ii) qualify for the reduced treaty rate. If you do not timely furnish the required documentation, but are otherwise eligible for a reduced rate of U.S. federal withholding tax pursuant to an income tax treaty, you may obtain a refund of any excess amounts withheld by timely filing an appropriate claim for refund with the IRS. If you hold our Class A common stock through a financial institution or other agent acting on your behalf, you will be required to provide appropriate documentation to the agent, who then will be required to provide certification to us or our paying agent, either directly or through other intermediaries. This certification must be provided to us (or, if applicable, our paying agent) prior to the payment to you of any dividends and may be required to be updated periodically.</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provided for in the applicable Treasury regulations we may withhold up to 30% of the gross amount of an entire distribution, even if the amount of the entire distribution is greater than the amount of such distribution constituting a dividend. If tax is withheld on the amount of a distribution in excess of the amount constituting a dividend, then a refund of any such excess amounts may be obtained by you by timely filing a claim for refund with the IRS.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Dividends received by you that are effectively connected with your conduct of a trade or business within the United States (or, if an applicable income tax treaty requires, attributable to a permanent establishment or fixed base maintained by you in the United States) are exempt from the U.S. federal withholding tax described above. In order to claim this exemption, you must provide us (or, if applicable, our paying agent) with an IRS Form W-8ECI (or a successor form) properly certifying that the dividends are effectively connected with your conduct of a trade or business within the United States. Such “effectively connected dividends”, although not subject to U.S. federal withholding tax, are generally taxed at the same U.S. federal income tax rates applicable to U.S. persons, net of certain deductions and credits (except as provided by an applicable income tax treaty). In addition, if you are a corporate non-U.S. holder, you may also be subject to a branch profits tax at a rate of 30% (or such lower rate as may be specified by an applicable income tax treaty) on your effectively connected earnings and profits for the taxable year that are attributable to such dividends, as adjusted for certain items.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1" w:name="page112"/>
    <w:bookmarkEnd w:id="111"/>
    <w:p>
      <w:pPr>
        <w:jc w:val="both"/>
        <w:ind w:firstLine="648"/>
        <w:spacing w:after="0" w:line="259" w:lineRule="auto"/>
        <w:rPr>
          <w:sz w:val="20"/>
          <w:szCs w:val="20"/>
          <w:color w:val="auto"/>
        </w:rPr>
      </w:pPr>
      <w:r>
        <w:rPr>
          <w:rFonts w:ascii="Arial" w:cs="Arial" w:eastAsia="Arial" w:hAnsi="Arial"/>
          <w:sz w:val="18"/>
          <w:szCs w:val="18"/>
          <w:color w:val="auto"/>
        </w:rPr>
        <w:t>To the extent distributions exceed both our current and our accumulated earnings and profits, such distributions will first constitute a tax-free return of capital and will reduce your adjusted tax basis in our Class A common stock (determined on a share-by-share basis), but not below zero, and, thereafter, any excess will be treated as capital gain from the sale of our Class A common stock, subject to the tax treatment described below in “—Gain on Sale or Other Taxable Disposition of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Class A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the discussions below regarding FATCA (as defined below) and backup withholding, you generally will not be required to pay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taxable disposition of our Class A common stock unless:</w:t>
      </w:r>
    </w:p>
    <w:p>
      <w:pPr>
        <w:spacing w:after="0" w:line="211" w:lineRule="exact"/>
        <w:rPr>
          <w:sz w:val="20"/>
          <w:szCs w:val="20"/>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(or, if an applicable income tax treaty requires, the gain is attributable to a permanent establishment or fixed base maintained by you in the United States);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taxable year in which the sale or disposition occurs, and certain other conditions are met; or</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Class A common stock constitutes a U.S. real property interest by reason of our status as a “United States real property holding corporation,” or a “USRPHC,” for U.S. federal income tax purposes, at any time during the shorter of the five-year period ending on the date of the sale or other taxable disposition of, or your holding period for, our Class A common stock, and certain other conditions are met.</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are a non-U.S. holder described in the first bullet above, you generally will be subject to U.S. federal income tax on the gain derived from the sale or other taxable disposition (net of certain deductions or credits) under the U.S. federal income tax rates generally applicable to U.S. persons (except as provided by an applicable income tax treaty), and corporate non-U.S. holders described in the first bullet above also may be subject to branch profits tax at a 30% rate or such lower rate as may be specified by an applicable income tax treaty.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are an individual non-U.S. holder described in the second bullet above, you will be subject to U.S. federal income tax at a rate of 30% (or such lower rate as may be specified by an applicable income tax treaty) on the gain derived from the sale or other taxable disposition, which may be offset by U.S. source capital losses for that taxable year (even though you are not considered a resident of the United States), provided that you have timely filed U.S. federal income tax returns with respect to such losses.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With respect to the third bullet above, in general, we would be a USRPHC if our “U.S. real property interests” comprised at least 50% of the sum of the fair market value of our worldwide real property interests plus our other assets used or held in our trade or business. We believe that we are not currently and (based upon our projections as to our business) will not become a USRPHC. However, because the determination of whether we are a USRPHC depends on the fair market value of our U.S. real property interests relative to the fair market value of our non-U.S. real property interests and our other business assets, there can be no assurance that we will not become a USRPHC in the future. Even if we are or were to become a USRPHC, gain arising from the sale or other taxable disposition by a non-U.S. holder of our Class A common stock would not be subject to U.S. federal income tax if our Class A common stock is “regularly traded” (within the meaning of applicable Treasury regulations) on an established securities market, and such non-U.S. holder has owned, actually and constructively, five percent or less of our Class A common stock at all times during the applicable period described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you either certify under penalty of perjury your non-U.S. status, such as by furnishing a valid IRS Form W-8BEN, W-8BEN-E, or W-8ECI (or a successor form), or otherwise establish an exemption. However, information returns are required to be filed with the IRS in connection with any dividends on our Class A common stock paid to you, regardless of whether any tax is subject to backup withholding.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Assuming we are not a USRPHC (discussed above), proceeds from the sale or other taxable disposition (or deemed disposition) of our Class A common stock within the United States or conducted through certain U.S.-related brokers generally will not be subject to backup withholding or information reporting, if the applicable withholding agent receives the certification described above, or you otherwise establish an exemption. Proceeds from a disposition (or deemed disposition) of our Class A common stock conducted through a non-U.S. office of a non-U.S. broker generally will not be subject to backup withholding or information reporting.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tax authorities in your country of residence, establishment, or organization.</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credit against a non-U.S. holder’s U.S. federal income tax liability, provided that the required information is timely furnished by such non-U.S. holder to the IRS.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Respecting Foreign Accounts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Foreign Account Tax Compliance Act and the rules and regulations promulgated thereunder (collectively, “FATCA”) impose withholding tax at a rate of 30% on dividends on our Class A common stock paid to a “foreign financial institution”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our Class A common stock paid to a “non-financial foreign entity” (as specially defined for purposes of these rules) unless such entity provides the withholding agent with a certification identifying certain substantial direct and indirect U.S. owners of the entity, certifies that there are none or otherwise establishes an exemption. Additionally, although FATCA withholding may also apply to gross proceeds of a disposition of the Class A common stock, recently proposed regulations, which taxpayers are permitted to rely on until final regulations are issued, eliminate withholding on such gross proceeds. The withholding provisions under FATCA generally apply to dividends on our Class A common stock. Under certain circumstances, a non-U.S. holder might be eligible for refunds or credits of such taxes.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Class A common stock.</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PRECEDING DISCUSSION OF U.S. FEDERAL TAX CONSEQUENCES IS FOR GENERAL INFORMATION ONLY. THIS DISCUSSION IS NOT TAX ADVICE. EACH PROSPECTIVE INVESTOR SHOULD CONSULT ITS OWN TAX ADVISOR REGARDING THE PARTICULAR U.S. FEDERAL, STATE, AND LOCAL AND NON-U.S. TAX CONSEQUENCES OF PURCHASING, HOLDING, AND DISPOSING OF OUR CLASS A COMMON STOCK, INCLUDING THE CONSEQUENCES OF ANY PROPOSED CHANGE IN APPLICABLE 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offering the shares of Class A common stock described in this prospectus through the underwriters listed below. Subject to the terms of the underwriting agreement, the underwriters named below have agreed to buy, severally and not jointly, the number of shares of Class A common stock listed opposite their names below. The underwriters are committed to purchase and pay for all of the shares if any are purchased, other than those shares covered by the over-allotment option described below. The Benchmark Company, LLC is acting as the lead managing underwriter of this offering and representative of the underwriters.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4"/>
              </w:rPr>
              <w:t>Number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of Shares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 Benchmark Company, LLC</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10760" w:type="dxa"/>
            <w:vAlign w:val="bottom"/>
            <w:gridSpan w:val="3"/>
          </w:tcPr>
          <w:p>
            <w:pPr>
              <w:ind w:left="660"/>
              <w:spacing w:after="0"/>
              <w:rPr>
                <w:sz w:val="20"/>
                <w:szCs w:val="20"/>
                <w:color w:val="auto"/>
              </w:rPr>
            </w:pPr>
            <w:r>
              <w:rPr>
                <w:rFonts w:ascii="Arial" w:cs="Arial" w:eastAsia="Arial" w:hAnsi="Arial"/>
                <w:sz w:val="18"/>
                <w:szCs w:val="18"/>
                <w:color w:val="auto"/>
                <w:w w:val="96"/>
              </w:rPr>
              <w:t>The underwriters have advised us that they propose to initially offer the shares of Class A common stock to the public at a price of $</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84"/>
              </w:rPr>
              <w:t>per</w:t>
            </w:r>
          </w:p>
        </w:tc>
      </w:tr>
    </w:tbl>
    <w:p>
      <w:pPr>
        <w:spacing w:after="0"/>
        <w:rPr>
          <w:sz w:val="20"/>
          <w:szCs w:val="20"/>
          <w:color w:val="auto"/>
        </w:rPr>
      </w:pPr>
      <w:r>
        <w:rPr>
          <w:rFonts w:ascii="Arial" w:cs="Arial" w:eastAsia="Arial" w:hAnsi="Arial"/>
          <w:sz w:val="16"/>
          <w:szCs w:val="16"/>
          <w:color w:val="auto"/>
        </w:rPr>
        <w:t>share. The underwriters propose to offer the shares of Class A common stock to certain dealers at the same price less a concession of not more than $</w:t>
      </w:r>
    </w:p>
    <w:p>
      <w:pPr>
        <w:spacing w:after="0" w:line="3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 share. After the initial offering, these figures may be changed by the underwriters.</w:t>
      </w:r>
    </w:p>
    <w:p>
      <w:pPr>
        <w:sectPr>
          <w:pgSz w:w="11900" w:h="16838" w:orient="portrait"/>
          <w:cols w:equalWidth="0" w:num="1">
            <w:col w:w="11240"/>
          </w:cols>
          <w:pgMar w:left="320" w:top="661" w:right="339" w:bottom="1440" w:gutter="0" w:footer="0" w:header="0"/>
        </w:sectPr>
      </w:pP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shares sold in this offering are expected to be ready for delivery against payment in immediately available funds on or about subject to customary closing conditions. The underwriters may reject all or part of any order.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463" w:lineRule="exact"/>
        <w:rPr>
          <w:sz w:val="20"/>
          <w:szCs w:val="20"/>
          <w:color w:val="auto"/>
        </w:rPr>
      </w:pPr>
    </w:p>
    <w:p>
      <w:pPr>
        <w:sectPr>
          <w:pgSz w:w="11900" w:h="16838" w:orient="portrait"/>
          <w:cols w:equalWidth="0" w:num="2">
            <w:col w:w="10060" w:space="660"/>
            <w:col w:w="520"/>
          </w:cols>
          <w:pgMar w:left="320" w:top="661" w:right="339" w:bottom="1440" w:gutter="0" w:footer="0" w:header="0"/>
          <w:type w:val="continuous"/>
        </w:sectPr>
      </w:pPr>
    </w:p>
    <w:p>
      <w:pPr>
        <w:ind w:left="660"/>
        <w:spacing w:after="0"/>
        <w:tabs>
          <w:tab w:leader="none" w:pos="6720" w:val="left"/>
        </w:tabs>
        <w:rPr>
          <w:sz w:val="20"/>
          <w:szCs w:val="20"/>
          <w:color w:val="auto"/>
        </w:rPr>
      </w:pPr>
      <w:r>
        <w:rPr>
          <w:rFonts w:ascii="Arial" w:cs="Arial" w:eastAsia="Arial" w:hAnsi="Arial"/>
          <w:sz w:val="18"/>
          <w:szCs w:val="18"/>
          <w:color w:val="auto"/>
        </w:rPr>
        <w:t>We have granted to the underwriters an option to purchase up to an additional</w:t>
      </w:r>
      <w:r>
        <w:rPr>
          <w:sz w:val="20"/>
          <w:szCs w:val="20"/>
          <w:color w:val="auto"/>
        </w:rPr>
        <w:tab/>
      </w:r>
      <w:r>
        <w:rPr>
          <w:rFonts w:ascii="Arial" w:cs="Arial" w:eastAsia="Arial" w:hAnsi="Arial"/>
          <w:sz w:val="16"/>
          <w:szCs w:val="16"/>
          <w:color w:val="auto"/>
        </w:rPr>
        <w:t>shares of Class A common stock from us at the same price to</w:t>
      </w:r>
    </w:p>
    <w:p>
      <w:pPr>
        <w:sectPr>
          <w:pgSz w:w="11900" w:h="16838" w:orient="portrait"/>
          <w:cols w:equalWidth="0" w:num="1">
            <w:col w:w="11240"/>
          </w:cols>
          <w:pgMar w:left="320" w:top="661" w:right="339" w:bottom="1440" w:gutter="0" w:footer="0" w:header="0"/>
          <w:type w:val="continuous"/>
        </w:sectPr>
      </w:pP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public, and with the same underwriting discount, as set forth in the table below. The underwriters may exercise this option any time during the 45-day period after the date of this prospectus, but only to cover over-allotments, if any. To the extent the underwriters exercise the option, the underwriters will become obligated, subject to certain conditions, to purchase the shares for which they exercise the option.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table below summarizes the underwriting discounts that we will pay to the underwriters. These amounts are shown assuming both no exercise and full exercise of the over-allotment option. In addition to the underwriting discount, we have agreed to pay up to $125,000 of the fees and expenses of the underwriters, which may include up to $125,000 of fees and expenses of counsel to the underwriters. The fees and expenses of the underwriters that we have agreed to reimburse are not included in the underwriting discounts set forth in the table below.</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disclosed in this prospectus, the underwriters have not received and will not receive from us any other item of compensation or expense in connection with this offering considered by FINRA to be underwriting compensation under FINRA Rule 5110. The underwriting discount was determined through an arms’ length negotiation between us and the underwriters.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Total with No</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with</w:t>
            </w:r>
          </w:p>
        </w:tc>
      </w:tr>
      <w:tr>
        <w:trPr>
          <w:trHeight w:val="241"/>
        </w:trPr>
        <w:tc>
          <w:tcPr>
            <w:tcW w:w="6760" w:type="dxa"/>
            <w:vAlign w:val="bottom"/>
          </w:tcPr>
          <w:p>
            <w:pPr>
              <w:spacing w:after="0"/>
              <w:rPr>
                <w:sz w:val="20"/>
                <w:szCs w:val="20"/>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 Share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Over-Allotment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Over-Allotment</w:t>
            </w: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 to be paid by us</w:t>
            </w: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418"/>
        </w:trPr>
        <w:tc>
          <w:tcPr>
            <w:tcW w:w="8360" w:type="dxa"/>
            <w:vAlign w:val="bottom"/>
            <w:gridSpan w:val="3"/>
          </w:tcPr>
          <w:p>
            <w:pPr>
              <w:ind w:left="660"/>
              <w:spacing w:after="0"/>
              <w:rPr>
                <w:sz w:val="20"/>
                <w:szCs w:val="20"/>
                <w:color w:val="auto"/>
              </w:rPr>
            </w:pPr>
            <w:r>
              <w:rPr>
                <w:rFonts w:ascii="Arial" w:cs="Arial" w:eastAsia="Arial" w:hAnsi="Arial"/>
                <w:sz w:val="18"/>
                <w:szCs w:val="18"/>
                <w:color w:val="auto"/>
              </w:rPr>
              <w:t>We estimate that the total expenses of this offering, excluding underwriting discounts, will be $</w:t>
            </w:r>
          </w:p>
        </w:tc>
        <w:tc>
          <w:tcPr>
            <w:tcW w:w="2880" w:type="dxa"/>
            <w:vAlign w:val="bottom"/>
            <w:gridSpan w:val="4"/>
          </w:tcPr>
          <w:p>
            <w:pPr>
              <w:ind w:left="140"/>
              <w:spacing w:after="0"/>
              <w:rPr>
                <w:sz w:val="20"/>
                <w:szCs w:val="20"/>
                <w:color w:val="auto"/>
              </w:rPr>
            </w:pPr>
            <w:r>
              <w:rPr>
                <w:rFonts w:ascii="Arial" w:cs="Arial" w:eastAsia="Arial" w:hAnsi="Arial"/>
                <w:sz w:val="18"/>
                <w:szCs w:val="18"/>
                <w:color w:val="auto"/>
                <w:w w:val="94"/>
              </w:rPr>
              <w:t>. This includes $125,000 of fees and</w:t>
            </w:r>
          </w:p>
        </w:tc>
      </w:tr>
      <w:tr>
        <w:trPr>
          <w:trHeight w:val="230"/>
        </w:trPr>
        <w:tc>
          <w:tcPr>
            <w:tcW w:w="8360" w:type="dxa"/>
            <w:vAlign w:val="bottom"/>
            <w:gridSpan w:val="3"/>
          </w:tcPr>
          <w:p>
            <w:pPr>
              <w:spacing w:after="0"/>
              <w:rPr>
                <w:sz w:val="20"/>
                <w:szCs w:val="20"/>
                <w:color w:val="auto"/>
              </w:rPr>
            </w:pPr>
            <w:r>
              <w:rPr>
                <w:rFonts w:ascii="Arial" w:cs="Arial" w:eastAsia="Arial" w:hAnsi="Arial"/>
                <w:sz w:val="18"/>
                <w:szCs w:val="18"/>
                <w:color w:val="auto"/>
              </w:rPr>
              <w:t>expenses of the underwriters. These expenses are payable by us.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6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107</w:t>
            </w: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have agreed to indemnify the underwriters against certain liabilities, including civil liabilities under the Securities Act, or to contribute to payments that the underwriters may be required to make in respect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each of our directors and officers and our stockholders have agreed not to offer, sell, agree to sell, directly or indirectly, or otherwise dispose of any shares of common stock or any securities convertible into or exchangeable for shares of common stock without the prior written consent of the representative for a period of 180 days after the date of this prospectus. These lock-up agreements provide limited exceptions, and their restrictions may be waived at any time by the representative.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underwriters have advised us that they propose to offer the shares of Class A common stock directly to the public at the estimated initial public offering price range set forth on the cover page of this prospectus. That price range and the initial public offering price are subject to change as a result of market conditions and other factors. Prior to this offering, no public market exists for our Class A common stock. The initial public offering price of the shares was determined by negotiation between us and the underwriters. The principal factors considered in determining the initial public offering price of the shares included, among others:</w:t>
      </w:r>
    </w:p>
    <w:p>
      <w:pPr>
        <w:spacing w:after="0" w:line="188"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in this prospectus and otherwise available to the underwriters, including our financial information;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history and the prospects for the industry in which we compete;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ability and experience of our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present state of our development and our current financial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general condition of the economy and the securities markets in the United States at the time of this initial public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publicly-traded securities of generally comparable companies;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cannot be sure that the initial public offering price will correspond to the price at which the shares of Class A common stock will trade in the public market following this offering or that an active trading market for the shares of Class A common stock will develop or continue after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facilitate this offering, the underwriters may engage in transactions that stabilize, maintain or otherwise affect the price of our Class A common stock during and after the offering. Specifically, the underwriters may create a short position in our Class A common stock for their own accounts by selling more shares of Class A common stock than we have sold to the underwriters. The underwriters may close out any short position by purchasing shares in the open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jc w:val="both"/>
        <w:ind w:firstLine="648"/>
        <w:spacing w:after="0" w:line="272" w:lineRule="auto"/>
        <w:rPr>
          <w:sz w:val="20"/>
          <w:szCs w:val="20"/>
          <w:color w:val="auto"/>
        </w:rPr>
      </w:pPr>
      <w:r>
        <w:rPr>
          <w:rFonts w:ascii="Arial" w:cs="Arial" w:eastAsia="Arial" w:hAnsi="Arial"/>
          <w:sz w:val="17"/>
          <w:szCs w:val="17"/>
          <w:color w:val="auto"/>
        </w:rPr>
        <w:t>In addition, the underwriters may stabilize or maintain the price of our Class A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Class A common stock at a level above that which might otherwise prevail in the open market. The imposition of a penalty bid may also affect the price of our Class A common stock to the extent that it discourages resales of our Class A common stock. The magnitude or effect of any stabilization or other transactions is uncertain. These transactions may be effected on the Nasdaq Capital Market or otherwise and, if commenced, may be discontinued at any time.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this offering, the underwriters and selling group members may also engage in passive market making transactions in our Class A common stock on the Nasdaq Capital Market. Passive market making consists of displaying bids on the Nasdaq Capital Market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our Class A common stock at a level above that which might otherwise prevail in the open market and, if commenced, may be discontinued at any time.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may have on the price of our Class A common stock. In addition, neither we nor the underwriters make any representation that the underwriters will engage in these transactions or that any transaction, if commenced, will not be discontinued without notice.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underwriters or syndicate members may facilitate the marketing of this offering online directly or through one of their respective affiliates. In those cases, prospective investors may view offering terms and a prospectus online and place orders online or through their financial advisors. Such websites and the information contained on such websites, or connected to such sites, are not incorporated into and are not a part of this prospectus.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this offering, we intend to apply to have our Class A common stock listed on the Nasdaq Capital Market under the symbol “MSGM.” There is no assurance, however, that our Class A common stock will ever be listed on the Nasdaq Capital Market or any other national securities exchange.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transfer agent is Worldwide Stock Transfer, LLC whose address is One University Plaza, Suite 505, Hackensack, New Jersey 07601 and its telephone number is (201) 820-2008.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action has been taken in any jurisdiction except the United States that would permit a public offering of our common stock, or the possession, circulation or distribution of this prospectus or any other material relating to us or our Class A common stock in any jurisdiction where action for that purpose is required. Accordingly, the shares may not be offered or sold, directly or indirectly, and neither this prospectus nor any other offering material or advertisements in connection with the shares may be distributed or published, in or from any country or jurisdiction except in compliance with any applicable rules and regulations of any such country or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securities may be sold in Canada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Securities Act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underwriters has, separately and not jointly, represented and agreed that:</w:t>
      </w:r>
    </w:p>
    <w:p>
      <w:pPr>
        <w:spacing w:after="0" w:line="225" w:lineRule="exact"/>
        <w:rPr>
          <w:sz w:val="20"/>
          <w:szCs w:val="20"/>
          <w:color w:val="auto"/>
        </w:rPr>
      </w:pPr>
    </w:p>
    <w:p>
      <w:pPr>
        <w:jc w:val="both"/>
        <w:ind w:left="980" w:hanging="324"/>
        <w:spacing w:after="0" w:line="301"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it has not made or will not make an offer of the securities to the public in the United Kingdom within the meaning of section 102B of the Financial Services and Markets Act 2000 (as amended)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Financial Services Authority;</w:t>
      </w:r>
    </w:p>
    <w:p>
      <w:pPr>
        <w:spacing w:after="0" w:line="157"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us; and</w:t>
      </w:r>
    </w:p>
    <w:p>
      <w:pPr>
        <w:spacing w:after="0" w:line="18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securities will not be offered, directly or indirectly, to the public in Switzerland and this prospectus does not constitute a public offering prospectus as that term is understood pursuant to article 652a or 1156 of the Swiss Federal Code of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w:t>
      </w:r>
      <w:r>
        <w:rPr>
          <w:rFonts w:ascii="Arial" w:cs="Arial" w:eastAsia="Arial" w:hAnsi="Arial"/>
          <w:sz w:val="17"/>
          <w:szCs w:val="17"/>
          <w:i w:val="1"/>
          <w:iCs w:val="1"/>
          <w:color w:val="auto"/>
        </w:rPr>
        <w:t>inter alia</w:t>
      </w:r>
      <w:r>
        <w:rPr>
          <w:rFonts w:ascii="Arial" w:cs="Arial" w:eastAsia="Arial" w:hAnsi="Arial"/>
          <w:sz w:val="17"/>
          <w:szCs w:val="17"/>
          <w:color w:val="auto"/>
        </w:rPr>
        <w:t>,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5728—1968. We have not and will not distribute this prospectus or make, distribute or direct an offer to subscribe for our securities to any person within the State of Israel, other than to Qualified Investors and up to 35 Addressed Investors.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Qualified Investors may have to submit written evidence that they meet the definitions set out in of the First Addendum to the Israeli Securities Law, 5728—1968.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securities; (iv) that the securities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alia</w:t>
      </w:r>
      <w:r>
        <w:rPr>
          <w:rFonts w:ascii="Arial" w:cs="Arial" w:eastAsia="Arial" w:hAnsi="Arial"/>
          <w:sz w:val="16"/>
          <w:szCs w:val="16"/>
          <w:color w:val="auto"/>
        </w:rPr>
        <w:t>, the Addressed Investor’s name, address and passport number or Israeli identification number.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securities may be made to the public in that Relevant Member State other than:</w:t>
      </w:r>
    </w:p>
    <w:p>
      <w:pPr>
        <w:spacing w:after="0" w:line="170"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us or the representative to publish a prospectus pursuant to Article 3 of the Prospectus Directive or supplement a prospectus pursuant to Article 16 of the Prospectus Directive,</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person in a Relevant Member State who initially acquires any shares or to whom any offer is made will be deemed to have represented, acknowledged and agreed to and with the representative and us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 has been obtained to each such proposed offer or resale.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8" w:name="page119"/>
    <w:bookmarkEnd w:id="118"/>
    <w:p>
      <w:pPr>
        <w:jc w:val="both"/>
        <w:ind w:firstLine="648"/>
        <w:spacing w:after="0" w:line="257"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(as amended by Directive 2010/73/EU), and includes any relevant implementing measure in the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contents of this document have not been reviewed or approved by any regulatory authority in Hong Kong. This document does not constitute an offer or invitation to the public in Hong Kong to acquire shares. Accordingly, unless permitted by the securities laws of Hong Kong, no person may issue or have in its possession for the purposes of issue, this document or any advertisement, invitation or document relating to the shares, whether in Hong Kong or elsewhere, which is directed at, or the contents of which are likely to be accessed or read by, the public in Hong Kong other than in relation to shares which are intended to be disposed of only to persons outside Hong Kong or only to “professional investors” (as such term is defined in the Securities and Futures Ordinance (Cap. 571, Laws of Hong Kong) (“SFO”) and the subsidiary legislation made thereunder); or in circumstances which do not result in this document being a “prospectus” as defined in the Companies (Winding Up and Miscellaneous Provisions) Ordinance (Cap. 32, Laws of Hong Kong) (“CO”); or which do not constitute an offer or an invitation to the public for the purposes of the SFO or the CO. The offer of the shares is personal to the person to whom this document has been delivered, and a subscription for shares will only be accepted from such person. No person to whom a copy of this document is issued may issue, circulate or distribute this document in Hong Kong, or make or give a copy of this document to any other person. You are advised to exercise caution in relation to the offer. If you are in any doubt about any of the contents of this document, you should obtain independent professional advice.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pursuant to Section 274 of the Securities and Futures Act, Chapter 289 of Singapore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shares are subscribed or purchased pursuant to an offer made in reliance on Section 275 of the SFA by a relevant person which is:</w:t>
      </w:r>
    </w:p>
    <w:p>
      <w:pPr>
        <w:spacing w:after="0" w:line="248" w:lineRule="exact"/>
        <w:rPr>
          <w:sz w:val="20"/>
          <w:szCs w:val="20"/>
          <w:color w:val="auto"/>
        </w:rPr>
      </w:pPr>
    </w:p>
    <w:p>
      <w:pPr>
        <w:ind w:left="980" w:right="2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shares, debentures and units of shares, and debentures of that corporation, or the beneficiaries’ rights and interest (howsoever described) in that trust shall not be transferable for six months after that corporation or that trust has acquired the shares under Section 275 except:</w:t>
      </w:r>
    </w:p>
    <w:p>
      <w:pPr>
        <w:spacing w:after="0" w:line="146" w:lineRule="exact"/>
        <w:rPr>
          <w:sz w:val="20"/>
          <w:szCs w:val="20"/>
          <w:color w:val="auto"/>
        </w:rPr>
      </w:pPr>
    </w:p>
    <w:p>
      <w:pPr>
        <w:ind w:left="98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(as defined in Section 275(2) of the SFA), or any person pursuant to Section 275(1A) of the SFA (in the case of that corporation) or Section 276(4)(i)(B) of the SFA (in the case of that trust);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validity of the shares of our Class A common stock offered hereby will be passed upon for us by Snell &amp; Wilmer L.L.P., Los Angeles, California. The underwriters are being represented by Faegre Drinker Biddle &amp; Reath LLP, Minneapolis, Minnesota.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Dixon Hughes Goodman LLP, an independent registered public accounting firm, has audited our consolidated financial statements as of December 31, 2019 and 2018, and for the year ended December 31, 2019, the Successor Period from August 15, 2018 through December 31, 2018, and the Predecessor Period from January 1, 2018 through August 14, 2018, as set forth in their report. We have included our consolidated financial statements in the prospectus and elsewhere in the registration statement in reliance on Dixon Hughes Goodman LLP’s report, given on their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filed a registration statement on Form S-1 under the Securities Act with the SEC to register with the SEC the shares of our Class A common stock being offered in this prospectus. This prospectus, which constitutes a part of the registration statement, does not contain all of the information set forth in the registration statement or the exhibits and schedules filed with it. For further information about us and our Class A common stock, reference is made to the registration statement and the exhibits and schedules filed with it.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When we complete this offering, we will also be required to file annual, quarterly and special reports, proxy statements and other information with the SEC. Our filings, including the registration statement, will also be available to you on the Internet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also maintain an Internet website at </w:t>
      </w:r>
      <w:r>
        <w:rPr>
          <w:rFonts w:ascii="Arial" w:cs="Arial" w:eastAsia="Arial" w:hAnsi="Arial"/>
          <w:sz w:val="18"/>
          <w:szCs w:val="18"/>
          <w:i w:val="1"/>
          <w:iCs w:val="1"/>
          <w:color w:val="auto"/>
        </w:rPr>
        <w:t>motorsportgames.com</w:t>
      </w:r>
      <w:r>
        <w:rPr>
          <w:rFonts w:ascii="Arial" w:cs="Arial" w:eastAsia="Arial" w:hAnsi="Arial"/>
          <w:sz w:val="18"/>
          <w:szCs w:val="18"/>
          <w:color w:val="auto"/>
        </w:rPr>
        <w:t>. Our website and the information contained therein or connected thereto shall not be deemed to be incorporated into this prospectus or the registration statement of which it forms a part.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770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rPr>
              <w:t>MOTORSPORT GAMING US LLC &amp; SUBSIDIARIES</w:t>
            </w:r>
          </w:p>
        </w:tc>
        <w:tc>
          <w:tcPr>
            <w:tcW w:w="64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770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rPr>
              <w:t>INDEX TO CONSOLIDATED FINANCIAL STATEMENTS</w:t>
            </w:r>
          </w:p>
        </w:tc>
        <w:tc>
          <w:tcPr>
            <w:tcW w:w="640" w:type="dxa"/>
            <w:vAlign w:val="bottom"/>
          </w:tcPr>
          <w:p>
            <w:pPr>
              <w:spacing w:after="0"/>
              <w:rPr>
                <w:sz w:val="24"/>
                <w:szCs w:val="24"/>
                <w:color w:val="auto"/>
              </w:rPr>
            </w:pPr>
          </w:p>
        </w:tc>
      </w:tr>
      <w:tr>
        <w:trPr>
          <w:trHeight w:val="439"/>
        </w:trPr>
        <w:tc>
          <w:tcPr>
            <w:tcW w:w="2900" w:type="dxa"/>
            <w:vAlign w:val="bottom"/>
            <w:tcBorders>
              <w:bottom w:val="single" w:sz="8" w:color="CCEEFF"/>
            </w:tcBorders>
          </w:tcPr>
          <w:p>
            <w:pPr>
              <w:spacing w:after="0"/>
              <w:rPr>
                <w:sz w:val="24"/>
                <w:szCs w:val="24"/>
                <w:color w:val="auto"/>
              </w:rPr>
            </w:pPr>
          </w:p>
        </w:tc>
        <w:tc>
          <w:tcPr>
            <w:tcW w:w="3720" w:type="dxa"/>
            <w:vAlign w:val="bottom"/>
            <w:tcBorders>
              <w:bottom w:val="single" w:sz="8" w:color="CCEEFF"/>
            </w:tcBorders>
          </w:tcPr>
          <w:p>
            <w:pPr>
              <w:spacing w:after="0"/>
              <w:rPr>
                <w:sz w:val="24"/>
                <w:szCs w:val="24"/>
                <w:color w:val="auto"/>
              </w:rPr>
            </w:pPr>
          </w:p>
        </w:tc>
        <w:tc>
          <w:tcPr>
            <w:tcW w:w="3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16"/>
        </w:trPr>
        <w:tc>
          <w:tcPr>
            <w:tcW w:w="10600" w:type="dxa"/>
            <w:vAlign w:val="bottom"/>
            <w:gridSpan w:val="6"/>
            <w:shd w:val="clear" w:color="auto" w:fill="CCEEFF"/>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Report of Independent Registered Public Accounting Firm</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29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6"/>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Consolidated Balance Sheets as of December 31, 2019 and 2018</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29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5"/>
        </w:trPr>
        <w:tc>
          <w:tcPr>
            <w:tcW w:w="105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Consolidated Statements of Operations for the Year Ended December 31, 2019 (Successor), for the Period from August 15, 2018 to December 31,</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217"/>
        </w:trPr>
        <w:tc>
          <w:tcPr>
            <w:tcW w:w="10600" w:type="dxa"/>
            <w:vAlign w:val="bottom"/>
            <w:gridSpan w:val="6"/>
            <w:shd w:val="clear" w:color="auto" w:fill="CCEEFF"/>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2018 (Successor) and for the Period from January 1, 2018 to August 14, 2018 (Predecessor)</w:t>
              </w:r>
            </w:hyperlink>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216"/>
        </w:trPr>
        <w:tc>
          <w:tcPr>
            <w:tcW w:w="2900" w:type="dxa"/>
            <w:vAlign w:val="bottom"/>
            <w:tcBorders>
              <w:top w:val="single" w:sz="8" w:color="0000EE"/>
            </w:tcBorders>
          </w:tcPr>
          <w:p>
            <w:pPr>
              <w:spacing w:after="0"/>
              <w:rPr>
                <w:sz w:val="18"/>
                <w:szCs w:val="18"/>
                <w:color w:val="auto"/>
              </w:rPr>
            </w:pPr>
          </w:p>
        </w:tc>
        <w:tc>
          <w:tcPr>
            <w:tcW w:w="3720" w:type="dxa"/>
            <w:vAlign w:val="bottom"/>
            <w:tcBorders>
              <w:top w:val="single" w:sz="8" w:color="0000EE"/>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104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0"/>
              </w:rPr>
            </w:pPr>
            <w:hyperlink w:anchor="page125">
              <w:r>
                <w:rPr>
                  <w:rFonts w:ascii="Arial" w:cs="Arial" w:eastAsia="Arial" w:hAnsi="Arial"/>
                  <w:sz w:val="18"/>
                  <w:szCs w:val="18"/>
                  <w:color w:val="0000EE"/>
                  <w:w w:val="90"/>
                </w:rPr>
                <w:t>Consolidated Statements of Changes in Member’s Equity for the Year Ended December 31, 2019 (Successor) and for the Period from August 15,</w:t>
              </w:r>
            </w:hyperlink>
          </w:p>
        </w:tc>
        <w:tc>
          <w:tcPr>
            <w:tcW w:w="140" w:type="dxa"/>
            <w:vAlign w:val="bottom"/>
            <w:tcBorders>
              <w:bottom w:val="single" w:sz="8" w:color="CCEEFF"/>
            </w:tcBorders>
            <w:gridSpan w:val="3"/>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217"/>
        </w:trPr>
        <w:tc>
          <w:tcPr>
            <w:tcW w:w="10600" w:type="dxa"/>
            <w:vAlign w:val="bottom"/>
            <w:gridSpan w:val="6"/>
            <w:shd w:val="clear" w:color="auto" w:fill="CCEEFF"/>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2018 to December 31, 2018 (Successor)</w:t>
              </w:r>
            </w:hyperlink>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216"/>
        </w:trPr>
        <w:tc>
          <w:tcPr>
            <w:tcW w:w="2900" w:type="dxa"/>
            <w:vAlign w:val="bottom"/>
            <w:tcBorders>
              <w:top w:val="single" w:sz="8" w:color="0000EE"/>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216"/>
        </w:trPr>
        <w:tc>
          <w:tcPr>
            <w:tcW w:w="10600" w:type="dxa"/>
            <w:vAlign w:val="bottom"/>
            <w:gridSpan w:val="6"/>
            <w:shd w:val="clear" w:color="auto" w:fill="CCEEFF"/>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Consolidated Statement of Changes in Stockholders’ Equity for the Period from January 1, 2018 to August 14, 2018 (Predecessor)</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16"/>
        </w:trPr>
        <w:tc>
          <w:tcPr>
            <w:tcW w:w="29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5"/>
        </w:trPr>
        <w:tc>
          <w:tcPr>
            <w:tcW w:w="105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Consolidated Statements of Cash Flows for the Year Ended December 31, 2019 (Successor), for the Period from August 15, 2018 to December 31,</w:t>
              </w:r>
            </w:hyperlink>
          </w:p>
        </w:tc>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217"/>
        </w:trPr>
        <w:tc>
          <w:tcPr>
            <w:tcW w:w="10600" w:type="dxa"/>
            <w:vAlign w:val="bottom"/>
            <w:gridSpan w:val="6"/>
            <w:shd w:val="clear" w:color="auto" w:fill="CCEEFF"/>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2018 (Successor) and for the Period from January 1, 2018 to August 14, 2018 (Predecessor)</w:t>
              </w:r>
            </w:hyperlink>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F-7</w:t>
            </w:r>
          </w:p>
        </w:tc>
      </w:tr>
      <w:tr>
        <w:trPr>
          <w:trHeight w:val="216"/>
        </w:trPr>
        <w:tc>
          <w:tcPr>
            <w:tcW w:w="2900" w:type="dxa"/>
            <w:vAlign w:val="bottom"/>
            <w:tcBorders>
              <w:top w:val="single" w:sz="8" w:color="0000EE"/>
            </w:tcBorders>
          </w:tcPr>
          <w:p>
            <w:pPr>
              <w:spacing w:after="0"/>
              <w:rPr>
                <w:sz w:val="18"/>
                <w:szCs w:val="18"/>
                <w:color w:val="auto"/>
              </w:rPr>
            </w:pPr>
          </w:p>
        </w:tc>
        <w:tc>
          <w:tcPr>
            <w:tcW w:w="3720" w:type="dxa"/>
            <w:vAlign w:val="bottom"/>
            <w:tcBorders>
              <w:top w:val="single" w:sz="8" w:color="0000EE"/>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216"/>
        </w:trPr>
        <w:tc>
          <w:tcPr>
            <w:tcW w:w="10600" w:type="dxa"/>
            <w:vAlign w:val="bottom"/>
            <w:gridSpan w:val="6"/>
            <w:shd w:val="clear" w:color="auto" w:fill="CCEEFF"/>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Notes to the Consolidated Financial Statements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F-8</w:t>
            </w:r>
          </w:p>
        </w:tc>
      </w:tr>
      <w:tr>
        <w:trPr>
          <w:trHeight w:val="439"/>
        </w:trPr>
        <w:tc>
          <w:tcPr>
            <w:tcW w:w="29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5"/>
          </w:tcPr>
          <w:p>
            <w:pPr>
              <w:jc w:val="center"/>
              <w:ind w:right="2260"/>
              <w:spacing w:after="0"/>
              <w:rPr>
                <w:sz w:val="20"/>
                <w:szCs w:val="20"/>
                <w:color w:val="auto"/>
              </w:rPr>
            </w:pPr>
            <w:r>
              <w:rPr>
                <w:rFonts w:ascii="Arial" w:cs="Arial" w:eastAsia="Arial" w:hAnsi="Arial"/>
                <w:sz w:val="18"/>
                <w:szCs w:val="18"/>
                <w:color w:val="auto"/>
                <w:w w:val="88"/>
              </w:rPr>
              <w:t>F-1</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Sole Member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Motorsport Gaming US LLC and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financial statements of Motorsport Gaming US LLC and subsidiaries (the “Company”), which comprise the consolidated balance sheets as of December 31, 2019 and 2018, the related consolidated statements of operations, changes in member’s equity, and cash flows for the year ended December 31, 2019, the successor period from August 15, 2018 through December 31, 2018, and the predecessor period from January 1, 2018 through August 14, 2018, and the related notes to the consolidated financial statements. In our opinion, the consolidated financial statements present fairly, in all material respects, the consolidated financial position of the Company as of December 31, 2019 and 2018, and the consolidated results of its operations and its cash flows for the year ended December 31, 2019, the successor period from August 15, 2018 through December 31, 2018, and the predecessor period from January 1, 2018 through August 14, 2018 in accordance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in Note 3 to the consolidated financial statements, the Company changed its method of accounting for testing of goodwill impairment effective January 1, 2019 due to the adoption of Accounting Standards Update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Dixon Hughes Goodman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Raleigh, North Carolina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4,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ind w:left="3460"/>
              <w:spacing w:after="0"/>
              <w:rPr>
                <w:sz w:val="20"/>
                <w:szCs w:val="20"/>
                <w:color w:val="auto"/>
              </w:rPr>
            </w:pPr>
            <w:r>
              <w:rPr>
                <w:rFonts w:ascii="Arial" w:cs="Arial" w:eastAsia="Arial" w:hAnsi="Arial"/>
                <w:sz w:val="18"/>
                <w:szCs w:val="18"/>
                <w:b w:val="1"/>
                <w:bCs w:val="1"/>
                <w:color w:val="auto"/>
              </w:rPr>
              <w:t>MOTORSPORT GAMING US LLC &amp; SUBSIDIARIES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00" w:type="dxa"/>
            <w:vAlign w:val="bottom"/>
          </w:tcPr>
          <w:p>
            <w:pPr>
              <w:ind w:left="4060"/>
              <w:spacing w:after="0"/>
              <w:rPr>
                <w:sz w:val="20"/>
                <w:szCs w:val="20"/>
                <w:color w:val="auto"/>
              </w:rPr>
            </w:pPr>
            <w:r>
              <w:rPr>
                <w:rFonts w:ascii="Arial" w:cs="Arial" w:eastAsia="Arial" w:hAnsi="Arial"/>
                <w:sz w:val="18"/>
                <w:szCs w:val="18"/>
                <w:b w:val="1"/>
                <w:bCs w:val="1"/>
                <w:color w:val="auto"/>
                <w:w w:val="99"/>
              </w:rPr>
              <w:t>CONSOLIDATED BALANCE SHEETS</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2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37"/>
        </w:trPr>
        <w:tc>
          <w:tcPr>
            <w:tcW w:w="7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Cash</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1,960,279</w:t>
            </w:r>
          </w:p>
        </w:tc>
        <w:tc>
          <w:tcPr>
            <w:tcW w:w="20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3,413,427</w:t>
            </w:r>
          </w:p>
        </w:tc>
        <w:tc>
          <w:tcPr>
            <w:tcW w:w="80" w:type="dxa"/>
            <w:vAlign w:val="bottom"/>
          </w:tcPr>
          <w:p>
            <w:pPr>
              <w:spacing w:after="0"/>
              <w:rPr>
                <w:sz w:val="18"/>
                <w:szCs w:val="18"/>
                <w:color w:val="auto"/>
              </w:rPr>
            </w:pPr>
          </w:p>
        </w:tc>
      </w:tr>
      <w:tr>
        <w:trPr>
          <w:trHeight w:val="202"/>
        </w:trPr>
        <w:tc>
          <w:tcPr>
            <w:tcW w:w="7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Accounts receivable, net of sales allowances of $1,891,681 and $1,836,598 as of December</w:t>
            </w: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 2019 and 2018, respectively</w:t>
            </w:r>
          </w:p>
        </w:tc>
        <w:tc>
          <w:tcPr>
            <w:tcW w:w="6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5,092,332</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5,203,754</w:t>
            </w:r>
          </w:p>
        </w:tc>
        <w:tc>
          <w:tcPr>
            <w:tcW w:w="80" w:type="dxa"/>
            <w:vAlign w:val="bottom"/>
            <w:shd w:val="clear" w:color="auto" w:fill="CCEEFF"/>
          </w:tcPr>
          <w:p>
            <w:pPr>
              <w:spacing w:after="0"/>
              <w:rPr>
                <w:sz w:val="20"/>
                <w:szCs w:val="20"/>
                <w:color w:val="auto"/>
              </w:rPr>
            </w:pPr>
          </w:p>
        </w:tc>
      </w:tr>
      <w:tr>
        <w:trPr>
          <w:trHeight w:val="236"/>
        </w:trPr>
        <w:tc>
          <w:tcPr>
            <w:tcW w:w="72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77,021</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82,423</w:t>
            </w:r>
          </w:p>
        </w:tc>
        <w:tc>
          <w:tcPr>
            <w:tcW w:w="80" w:type="dxa"/>
            <w:vAlign w:val="bottom"/>
          </w:tcPr>
          <w:p>
            <w:pPr>
              <w:spacing w:after="0"/>
              <w:rPr>
                <w:sz w:val="20"/>
                <w:szCs w:val="20"/>
                <w:color w:val="auto"/>
              </w:rPr>
            </w:pPr>
          </w:p>
        </w:tc>
      </w:tr>
      <w:tr>
        <w:trPr>
          <w:trHeight w:val="216"/>
        </w:trPr>
        <w:tc>
          <w:tcPr>
            <w:tcW w:w="7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6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7,129,632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8,699,604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127,406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70,735</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137,717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712,732</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Intangible assets, net</w:t>
            </w:r>
          </w:p>
        </w:tc>
        <w:tc>
          <w:tcPr>
            <w:tcW w:w="6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5,327,156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6,137,406</w:t>
            </w:r>
          </w:p>
        </w:tc>
        <w:tc>
          <w:tcPr>
            <w:tcW w:w="80" w:type="dxa"/>
            <w:vAlign w:val="bottom"/>
          </w:tcPr>
          <w:p>
            <w:pPr>
              <w:spacing w:after="0"/>
              <w:rPr>
                <w:sz w:val="18"/>
                <w:szCs w:val="18"/>
                <w:color w:val="auto"/>
              </w:rPr>
            </w:pPr>
          </w:p>
        </w:tc>
      </w:tr>
      <w:tr>
        <w:trPr>
          <w:trHeight w:val="25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55,363</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49,781</w:t>
            </w:r>
          </w:p>
        </w:tc>
        <w:tc>
          <w:tcPr>
            <w:tcW w:w="80" w:type="dxa"/>
            <w:vAlign w:val="bottom"/>
            <w:shd w:val="clear" w:color="auto" w:fill="CCEEFF"/>
          </w:tcPr>
          <w:p>
            <w:pPr>
              <w:spacing w:after="0"/>
              <w:rPr>
                <w:sz w:val="21"/>
                <w:szCs w:val="21"/>
                <w:color w:val="auto"/>
              </w:rPr>
            </w:pPr>
          </w:p>
        </w:tc>
      </w:tr>
      <w:tr>
        <w:trPr>
          <w:trHeight w:val="256"/>
        </w:trPr>
        <w:tc>
          <w:tcPr>
            <w:tcW w:w="720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12,777,274</w:t>
            </w:r>
          </w:p>
        </w:tc>
        <w:tc>
          <w:tcPr>
            <w:tcW w:w="1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15,670,258</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7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Liabilities and Member’s Equity</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266,854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832,141</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852,938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989,397</w:t>
            </w:r>
          </w:p>
        </w:tc>
        <w:tc>
          <w:tcPr>
            <w:tcW w:w="80" w:type="dxa"/>
            <w:vAlign w:val="bottom"/>
          </w:tcPr>
          <w:p>
            <w:pPr>
              <w:spacing w:after="0"/>
              <w:rPr>
                <w:sz w:val="18"/>
                <w:szCs w:val="18"/>
                <w:color w:val="auto"/>
              </w:rPr>
            </w:pPr>
          </w:p>
        </w:tc>
      </w:tr>
      <w:tr>
        <w:trPr>
          <w:trHeight w:val="249"/>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6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8,045,522</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4,481,196</w:t>
            </w:r>
          </w:p>
        </w:tc>
        <w:tc>
          <w:tcPr>
            <w:tcW w:w="80" w:type="dxa"/>
            <w:vAlign w:val="bottom"/>
            <w:shd w:val="clear" w:color="auto" w:fill="CCEEFF"/>
          </w:tcPr>
          <w:p>
            <w:pPr>
              <w:spacing w:after="0"/>
              <w:rPr>
                <w:sz w:val="21"/>
                <w:szCs w:val="2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6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9,165,314</w:t>
            </w: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6,302,734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Member’s (deficiency) equity attributable to Motorsport Gaming US LLC</w:t>
            </w: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(3,064,354)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499,792</w:t>
            </w:r>
          </w:p>
        </w:tc>
        <w:tc>
          <w:tcPr>
            <w:tcW w:w="80" w:type="dxa"/>
            <w:vAlign w:val="bottom"/>
            <w:shd w:val="clear" w:color="auto" w:fill="CCEEFF"/>
          </w:tcPr>
          <w:p>
            <w:pPr>
              <w:spacing w:after="0"/>
              <w:rPr>
                <w:sz w:val="18"/>
                <w:szCs w:val="18"/>
                <w:color w:val="auto"/>
              </w:rPr>
            </w:pPr>
          </w:p>
        </w:tc>
      </w:tr>
      <w:tr>
        <w:trPr>
          <w:trHeight w:val="236"/>
        </w:trPr>
        <w:tc>
          <w:tcPr>
            <w:tcW w:w="720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6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6,676,314</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8,867,732</w:t>
            </w:r>
          </w:p>
        </w:tc>
        <w:tc>
          <w:tcPr>
            <w:tcW w:w="80" w:type="dxa"/>
            <w:vAlign w:val="bottom"/>
          </w:tcPr>
          <w:p>
            <w:pPr>
              <w:spacing w:after="0"/>
              <w:rPr>
                <w:sz w:val="20"/>
                <w:szCs w:val="20"/>
                <w:color w:val="auto"/>
              </w:rPr>
            </w:pPr>
          </w:p>
        </w:tc>
      </w:tr>
      <w:tr>
        <w:trPr>
          <w:trHeight w:val="236"/>
        </w:trPr>
        <w:tc>
          <w:tcPr>
            <w:tcW w:w="7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Member’s Equity</w:t>
            </w: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3,611,960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9,367,524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Total Liabilities and Member’s Equity</w:t>
            </w: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12,777,274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15,670,258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9460" w:type="dxa"/>
            <w:vAlign w:val="bottom"/>
            <w:gridSpan w:val="9"/>
          </w:tcPr>
          <w:p>
            <w:pPr>
              <w:ind w:left="3460"/>
              <w:spacing w:after="0"/>
              <w:rPr>
                <w:sz w:val="20"/>
                <w:szCs w:val="20"/>
                <w:color w:val="auto"/>
              </w:rPr>
            </w:pPr>
            <w:r>
              <w:rPr>
                <w:rFonts w:ascii="Arial" w:cs="Arial" w:eastAsia="Arial" w:hAnsi="Arial"/>
                <w:sz w:val="18"/>
                <w:szCs w:val="18"/>
                <w:b w:val="1"/>
                <w:bCs w:val="1"/>
                <w:color w:val="auto"/>
              </w:rPr>
              <w:t>MOTORSPORT GAMING US LLC &amp; SUBSIDIARIES</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60" w:type="dxa"/>
            <w:vAlign w:val="bottom"/>
            <w:gridSpan w:val="9"/>
          </w:tcPr>
          <w:p>
            <w:pPr>
              <w:ind w:left="3520"/>
              <w:spacing w:after="0"/>
              <w:rPr>
                <w:sz w:val="20"/>
                <w:szCs w:val="20"/>
                <w:color w:val="auto"/>
              </w:rPr>
            </w:pPr>
            <w:r>
              <w:rPr>
                <w:rFonts w:ascii="Arial" w:cs="Arial" w:eastAsia="Arial" w:hAnsi="Arial"/>
                <w:sz w:val="18"/>
                <w:szCs w:val="18"/>
                <w:b w:val="1"/>
                <w:bCs w:val="1"/>
                <w:color w:val="auto"/>
              </w:rPr>
              <w:t>CONSOLIDATED STATEMENTS OF OPERATIONS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vMerge w:val="restart"/>
          </w:tcPr>
          <w:p>
            <w:pPr>
              <w:jc w:val="center"/>
              <w:ind w:right="481"/>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8"/>
                <w:szCs w:val="18"/>
                <w:color w:val="auto"/>
              </w:rPr>
            </w:pPr>
          </w:p>
        </w:tc>
        <w:tc>
          <w:tcPr>
            <w:tcW w:w="16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3"/>
              </w:rPr>
              <w:t>Successor</w:t>
            </w:r>
          </w:p>
        </w:tc>
        <w:tc>
          <w:tcPr>
            <w:tcW w:w="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vMerge w:val="restart"/>
          </w:tcPr>
          <w:p>
            <w:pPr>
              <w:jc w:val="center"/>
              <w:ind w:right="121"/>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40" w:type="dxa"/>
            <w:vAlign w:val="bottom"/>
            <w:shd w:val="clear" w:color="auto" w:fill="000000"/>
          </w:tcPr>
          <w:p>
            <w:pPr>
              <w:spacing w:after="0"/>
              <w:rPr>
                <w:sz w:val="20"/>
                <w:szCs w:val="20"/>
                <w:color w:val="auto"/>
              </w:rPr>
            </w:pPr>
          </w:p>
        </w:tc>
        <w:tc>
          <w:tcPr>
            <w:tcW w:w="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For the Period From</w:t>
            </w:r>
          </w:p>
        </w:tc>
        <w:tc>
          <w:tcPr>
            <w:tcW w:w="80" w:type="dxa"/>
            <w:vAlign w:val="bottom"/>
          </w:tcPr>
          <w:p>
            <w:pPr>
              <w:spacing w:after="0"/>
              <w:rPr>
                <w:sz w:val="17"/>
                <w:szCs w:val="17"/>
                <w:color w:val="auto"/>
              </w:rPr>
            </w:pPr>
          </w:p>
        </w:tc>
        <w:tc>
          <w:tcPr>
            <w:tcW w:w="40" w:type="dxa"/>
            <w:vAlign w:val="bottom"/>
            <w:tcBorders>
              <w:top w:val="single" w:sz="8" w:color="auto"/>
            </w:tcBorders>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For the Period From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01"/>
              <w:spacing w:after="0"/>
              <w:rPr>
                <w:sz w:val="20"/>
                <w:szCs w:val="20"/>
                <w:color w:val="auto"/>
              </w:rPr>
            </w:pPr>
            <w:r>
              <w:rPr>
                <w:rFonts w:ascii="Arial" w:cs="Arial" w:eastAsia="Arial" w:hAnsi="Arial"/>
                <w:sz w:val="18"/>
                <w:szCs w:val="18"/>
                <w:b w:val="1"/>
                <w:bCs w:val="1"/>
                <w:color w:val="auto"/>
                <w:w w:val="92"/>
              </w:rPr>
              <w:t>For the Year Ended</w:t>
            </w:r>
          </w:p>
        </w:tc>
        <w:tc>
          <w:tcPr>
            <w:tcW w:w="1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August 15, 2018 to</w:t>
            </w:r>
          </w:p>
        </w:tc>
        <w:tc>
          <w:tcPr>
            <w:tcW w:w="4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0"/>
              </w:rPr>
              <w:t>January 1, 2018 to</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481"/>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9"/>
              </w:rPr>
              <w:t>August 14,</w:t>
            </w:r>
          </w:p>
        </w:tc>
        <w:tc>
          <w:tcPr>
            <w:tcW w:w="0" w:type="dxa"/>
            <w:vAlign w:val="bottom"/>
          </w:tcPr>
          <w:p>
            <w:pPr>
              <w:spacing w:after="0"/>
              <w:rPr>
                <w:sz w:val="1"/>
                <w:szCs w:val="1"/>
                <w:color w:val="auto"/>
              </w:rPr>
            </w:pPr>
          </w:p>
        </w:tc>
      </w:tr>
      <w:tr>
        <w:trPr>
          <w:trHeight w:val="241"/>
        </w:trPr>
        <w:tc>
          <w:tcPr>
            <w:tcW w:w="5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11,850,787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10,768,629</w:t>
            </w:r>
          </w:p>
        </w:tc>
        <w:tc>
          <w:tcPr>
            <w:tcW w:w="80" w:type="dxa"/>
            <w:vAlign w:val="bottom"/>
            <w:shd w:val="clear" w:color="auto" w:fill="CCEEFF"/>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0"/>
                <w:szCs w:val="20"/>
                <w:color w:val="auto"/>
              </w:rPr>
            </w:pPr>
          </w:p>
        </w:tc>
        <w:tc>
          <w:tcPr>
            <w:tcW w:w="1840" w:type="dxa"/>
            <w:vAlign w:val="bottom"/>
            <w:gridSpan w:val="2"/>
          </w:tcPr>
          <w:p>
            <w:pPr>
              <w:jc w:val="right"/>
              <w:ind w:right="281"/>
              <w:spacing w:after="0"/>
              <w:rPr>
                <w:sz w:val="20"/>
                <w:szCs w:val="20"/>
                <w:color w:val="auto"/>
              </w:rPr>
            </w:pPr>
            <w:r>
              <w:rPr>
                <w:rFonts w:ascii="Arial" w:cs="Arial" w:eastAsia="Arial" w:hAnsi="Arial"/>
                <w:sz w:val="18"/>
                <w:szCs w:val="18"/>
                <w:color w:val="auto"/>
              </w:rPr>
              <w:t>4,428,627</w:t>
            </w:r>
          </w:p>
        </w:tc>
        <w:tc>
          <w:tcPr>
            <w:tcW w:w="1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4,011,976</w:t>
            </w:r>
          </w:p>
        </w:tc>
        <w:tc>
          <w:tcPr>
            <w:tcW w:w="4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1,126,171</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7,422,160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6,756,653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000000"/>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Sales and marketing (1)</w:t>
            </w:r>
          </w:p>
        </w:tc>
        <w:tc>
          <w:tcPr>
            <w:tcW w:w="220" w:type="dxa"/>
            <w:vAlign w:val="bottom"/>
          </w:tcPr>
          <w:p>
            <w:pPr>
              <w:spacing w:after="0"/>
              <w:rPr>
                <w:sz w:val="18"/>
                <w:szCs w:val="18"/>
                <w:color w:val="auto"/>
              </w:rPr>
            </w:pPr>
          </w:p>
        </w:tc>
        <w:tc>
          <w:tcPr>
            <w:tcW w:w="1840" w:type="dxa"/>
            <w:vAlign w:val="bottom"/>
            <w:gridSpan w:val="2"/>
          </w:tcPr>
          <w:p>
            <w:pPr>
              <w:jc w:val="right"/>
              <w:ind w:right="281"/>
              <w:spacing w:after="0"/>
              <w:rPr>
                <w:sz w:val="20"/>
                <w:szCs w:val="20"/>
                <w:color w:val="auto"/>
              </w:rPr>
            </w:pPr>
            <w:r>
              <w:rPr>
                <w:rFonts w:ascii="Arial" w:cs="Arial" w:eastAsia="Arial" w:hAnsi="Arial"/>
                <w:sz w:val="18"/>
                <w:szCs w:val="18"/>
                <w:color w:val="auto"/>
              </w:rPr>
              <w:t>3,771,570</w:t>
            </w:r>
          </w:p>
        </w:tc>
        <w:tc>
          <w:tcPr>
            <w:tcW w:w="10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2,429,939</w:t>
            </w:r>
          </w:p>
        </w:tc>
        <w:tc>
          <w:tcPr>
            <w:tcW w:w="4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1,114,661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(2)</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4,784,034</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1,694,359</w:t>
            </w:r>
          </w:p>
        </w:tc>
        <w:tc>
          <w:tcPr>
            <w:tcW w:w="4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2,207,757</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840" w:type="dxa"/>
            <w:vAlign w:val="bottom"/>
            <w:gridSpan w:val="2"/>
          </w:tcPr>
          <w:p>
            <w:pPr>
              <w:jc w:val="right"/>
              <w:ind w:right="281"/>
              <w:spacing w:after="0"/>
              <w:rPr>
                <w:sz w:val="20"/>
                <w:szCs w:val="20"/>
                <w:color w:val="auto"/>
              </w:rPr>
            </w:pPr>
            <w:r>
              <w:rPr>
                <w:rFonts w:ascii="Arial" w:cs="Arial" w:eastAsia="Arial" w:hAnsi="Arial"/>
                <w:sz w:val="18"/>
                <w:szCs w:val="18"/>
                <w:color w:val="auto"/>
              </w:rPr>
              <w:t>2,605,782</w:t>
            </w:r>
          </w:p>
        </w:tc>
        <w:tc>
          <w:tcPr>
            <w:tcW w:w="10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869,928</w:t>
            </w:r>
          </w:p>
        </w:tc>
        <w:tc>
          <w:tcPr>
            <w:tcW w:w="4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2,002,377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861,872</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408,078</w:t>
            </w:r>
          </w:p>
        </w:tc>
        <w:tc>
          <w:tcPr>
            <w:tcW w:w="4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53,411</w:t>
            </w: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Arial" w:cs="Arial" w:eastAsia="Arial" w:hAnsi="Arial"/>
                <w:sz w:val="18"/>
                <w:szCs w:val="18"/>
                <w:color w:val="auto"/>
              </w:rPr>
              <w:t>Loss on impairment of goodwill</w:t>
            </w:r>
          </w:p>
        </w:tc>
        <w:tc>
          <w:tcPr>
            <w:tcW w:w="220" w:type="dxa"/>
            <w:vAlign w:val="bottom"/>
          </w:tcPr>
          <w:p>
            <w:pPr>
              <w:spacing w:after="0"/>
              <w:rPr>
                <w:sz w:val="20"/>
                <w:szCs w:val="20"/>
                <w:color w:val="auto"/>
              </w:rPr>
            </w:pPr>
          </w:p>
        </w:tc>
        <w:tc>
          <w:tcPr>
            <w:tcW w:w="1840" w:type="dxa"/>
            <w:vAlign w:val="bottom"/>
            <w:gridSpan w:val="2"/>
          </w:tcPr>
          <w:p>
            <w:pPr>
              <w:jc w:val="right"/>
              <w:ind w:right="281"/>
              <w:spacing w:after="0"/>
              <w:rPr>
                <w:sz w:val="20"/>
                <w:szCs w:val="20"/>
                <w:color w:val="auto"/>
              </w:rPr>
            </w:pPr>
            <w:r>
              <w:rPr>
                <w:rFonts w:ascii="Arial" w:cs="Arial" w:eastAsia="Arial" w:hAnsi="Arial"/>
                <w:sz w:val="18"/>
                <w:szCs w:val="18"/>
                <w:color w:val="auto"/>
              </w:rPr>
              <w:t>575,015</w:t>
            </w:r>
          </w:p>
        </w:tc>
        <w:tc>
          <w:tcPr>
            <w:tcW w:w="1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12,598,273</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5,402,304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000000"/>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540"/>
              <w:spacing w:after="0" w:line="203" w:lineRule="exact"/>
              <w:rPr>
                <w:sz w:val="20"/>
                <w:szCs w:val="20"/>
                <w:color w:val="auto"/>
              </w:rPr>
            </w:pPr>
            <w:r>
              <w:rPr>
                <w:rFonts w:ascii="Arial" w:cs="Arial" w:eastAsia="Arial" w:hAnsi="Arial"/>
                <w:sz w:val="18"/>
                <w:szCs w:val="18"/>
                <w:color w:val="auto"/>
              </w:rPr>
              <w:t>(Loss) Income From Operations</w:t>
            </w:r>
          </w:p>
        </w:tc>
        <w:tc>
          <w:tcPr>
            <w:tcW w:w="2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(5,176,113)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1,354,349</w:t>
            </w:r>
          </w:p>
        </w:tc>
        <w:tc>
          <w:tcPr>
            <w:tcW w:w="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(2,516,229)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35,728</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attributable to equity method investment</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(608,656)</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0"/>
                <w:szCs w:val="20"/>
                <w:color w:val="auto"/>
              </w:rPr>
            </w:pPr>
          </w:p>
        </w:tc>
        <w:tc>
          <w:tcPr>
            <w:tcW w:w="1840" w:type="dxa"/>
            <w:vAlign w:val="bottom"/>
            <w:gridSpan w:val="2"/>
          </w:tcPr>
          <w:p>
            <w:pPr>
              <w:jc w:val="right"/>
              <w:ind w:right="221"/>
              <w:spacing w:after="0"/>
              <w:rPr>
                <w:sz w:val="20"/>
                <w:szCs w:val="20"/>
                <w:color w:val="auto"/>
              </w:rPr>
            </w:pPr>
            <w:r>
              <w:rPr>
                <w:rFonts w:ascii="Arial" w:cs="Arial" w:eastAsia="Arial" w:hAnsi="Arial"/>
                <w:sz w:val="18"/>
                <w:szCs w:val="18"/>
                <w:color w:val="auto"/>
              </w:rPr>
              <w:t>(6,523)</w:t>
            </w:r>
          </w:p>
        </w:tc>
        <w:tc>
          <w:tcPr>
            <w:tcW w:w="1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4,904</w:t>
            </w:r>
          </w:p>
        </w:tc>
        <w:tc>
          <w:tcPr>
            <w:tcW w:w="4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(Loss) Income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(5,755,564)</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1,359,253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000000"/>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(2,512,752)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0"/>
                <w:szCs w:val="20"/>
                <w:color w:val="auto"/>
              </w:rPr>
            </w:pPr>
          </w:p>
        </w:tc>
        <w:tc>
          <w:tcPr>
            <w:tcW w:w="1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(5,755,564)</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1,359,253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000000"/>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Less: Net (loss) income attributable to noncontrolling interest</w:t>
            </w:r>
          </w:p>
        </w:tc>
        <w:tc>
          <w:tcPr>
            <w:tcW w:w="220" w:type="dxa"/>
            <w:vAlign w:val="bottom"/>
          </w:tcPr>
          <w:p>
            <w:pPr>
              <w:spacing w:after="0"/>
              <w:rPr>
                <w:sz w:val="20"/>
                <w:szCs w:val="20"/>
                <w:color w:val="auto"/>
              </w:rPr>
            </w:pPr>
          </w:p>
        </w:tc>
        <w:tc>
          <w:tcPr>
            <w:tcW w:w="1840" w:type="dxa"/>
            <w:vAlign w:val="bottom"/>
            <w:gridSpan w:val="2"/>
          </w:tcPr>
          <w:p>
            <w:pPr>
              <w:jc w:val="right"/>
              <w:ind w:right="221"/>
              <w:spacing w:after="0"/>
              <w:rPr>
                <w:sz w:val="20"/>
                <w:szCs w:val="20"/>
                <w:color w:val="auto"/>
              </w:rPr>
            </w:pPr>
            <w:r>
              <w:rPr>
                <w:rFonts w:ascii="Arial" w:cs="Arial" w:eastAsia="Arial" w:hAnsi="Arial"/>
                <w:sz w:val="18"/>
                <w:szCs w:val="18"/>
                <w:color w:val="auto"/>
              </w:rPr>
              <w:t>(2,191,418)</w:t>
            </w:r>
          </w:p>
        </w:tc>
        <w:tc>
          <w:tcPr>
            <w:tcW w:w="1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859,461</w:t>
            </w:r>
          </w:p>
        </w:tc>
        <w:tc>
          <w:tcPr>
            <w:tcW w:w="4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8"/>
              </w:rPr>
              <w:t>Net (Loss) Income Attributable to Motorsport Gaming US LLC</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(3,564,146</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000000"/>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(2,510,429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56"/>
        <w:spacing w:after="0" w:line="277" w:lineRule="auto"/>
        <w:tabs>
          <w:tab w:leader="none" w:pos="9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related party expenses of $593,094, $364,294 and $0 for the Year Ended December 31, 2019, for the Period from August 15, 2018 to December 31, 2018 (Successor) and for the Period from January 1, 2018 to August 14, 2018 (Predecessor), respectively</w:t>
      </w:r>
    </w:p>
    <w:p>
      <w:pPr>
        <w:spacing w:after="0" w:line="170" w:lineRule="exact"/>
        <w:rPr>
          <w:rFonts w:ascii="Arial" w:cs="Arial" w:eastAsia="Arial" w:hAnsi="Arial"/>
          <w:sz w:val="18"/>
          <w:szCs w:val="18"/>
          <w:color w:val="auto"/>
        </w:rPr>
      </w:pPr>
    </w:p>
    <w:p>
      <w:pPr>
        <w:ind w:firstLine="656"/>
        <w:spacing w:after="0" w:line="277" w:lineRule="auto"/>
        <w:tabs>
          <w:tab w:leader="none" w:pos="9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related party expenses of $15,229, $108,375 and $0 for the Year Ended December 31, 2019, for the Period from August 15, 2018 to December 31, 2018 (Successor) and for the Period from January 1, 2018 to August 14, 2018 (Predecessor),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 AND FOR THE PERIOD FROM AUGUST 15, 2018 TO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5"/>
              </w:rPr>
              <w:t>Member’s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(Deficiency)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4"/>
              </w:rPr>
              <w:t>Attributable to</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Motorsport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Gaming US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Noncontrolling</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Member’s</w:t>
            </w:r>
          </w:p>
        </w:tc>
      </w:tr>
      <w:tr>
        <w:trPr>
          <w:trHeight w:val="263"/>
        </w:trPr>
        <w:tc>
          <w:tcPr>
            <w:tcW w:w="6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rPr>
              <w:t>LLC</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Interest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August 15,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Change of control adjustments</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8,008,271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8,008,271</w:t>
            </w:r>
          </w:p>
        </w:tc>
        <w:tc>
          <w:tcPr>
            <w:tcW w:w="80" w:type="dxa"/>
            <w:vAlign w:val="bottom"/>
          </w:tcPr>
          <w:p>
            <w:pPr>
              <w:spacing w:after="0"/>
              <w:rPr>
                <w:sz w:val="18"/>
                <w:szCs w:val="18"/>
                <w:color w:val="auto"/>
              </w:rPr>
            </w:pPr>
          </w:p>
        </w:tc>
      </w:tr>
      <w:tr>
        <w:trPr>
          <w:trHeight w:val="24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499,792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859,461</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1,359,253</w:t>
            </w:r>
          </w:p>
        </w:tc>
        <w:tc>
          <w:tcPr>
            <w:tcW w:w="80" w:type="dxa"/>
            <w:vAlign w:val="bottom"/>
            <w:shd w:val="clear" w:color="auto" w:fill="CCEEFF"/>
          </w:tcPr>
          <w:p>
            <w:pPr>
              <w:spacing w:after="0"/>
              <w:rPr>
                <w:sz w:val="21"/>
                <w:szCs w:val="21"/>
                <w:color w:val="auto"/>
              </w:rPr>
            </w:pPr>
          </w:p>
        </w:tc>
      </w:tr>
      <w:tr>
        <w:trPr>
          <w:trHeight w:val="203"/>
        </w:trPr>
        <w:tc>
          <w:tcPr>
            <w:tcW w:w="60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December 31, 2018</w:t>
            </w: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499,792</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8,867,732</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9,367,524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(3,564,146)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(2,191,418)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(5,755,564)</w:t>
            </w:r>
          </w:p>
        </w:tc>
      </w:tr>
      <w:tr>
        <w:trPr>
          <w:trHeight w:val="217"/>
        </w:trPr>
        <w:tc>
          <w:tcPr>
            <w:tcW w:w="60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 December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(3,064,354</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6,676,314</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3,611,960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(PREDECESSOR)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PERIOD FROM JANUARY 1, 2018 TO AUGUST 14, 2018</w:t>
      </w:r>
    </w:p>
    <w:p>
      <w:pPr>
        <w:sectPr>
          <w:pgSz w:w="11900" w:h="16838" w:orient="portrait"/>
          <w:cols w:equalWidth="0" w:num="1">
            <w:col w:w="11200"/>
          </w:cols>
          <w:pgMar w:left="320" w:top="68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January 1, 2018</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Cumulative effect of adoption of ASC</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606</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August 14, 2018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Total</w:t>
            </w:r>
          </w:p>
        </w:tc>
      </w:tr>
      <w:tr>
        <w:trPr>
          <w:trHeight w:val="263"/>
        </w:trPr>
        <w:tc>
          <w:tcPr>
            <w:tcW w:w="25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22"/>
                <w:szCs w:val="22"/>
                <w:color w:val="auto"/>
              </w:rPr>
            </w:pPr>
          </w:p>
        </w:tc>
        <w:tc>
          <w:tcPr>
            <w:tcW w:w="144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88"/>
              </w:rPr>
              <w:t>Accumulated</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Stockholders’</w:t>
            </w:r>
          </w:p>
        </w:tc>
      </w:tr>
      <w:tr>
        <w:trPr>
          <w:trHeight w:val="237"/>
        </w:trPr>
        <w:tc>
          <w:tcPr>
            <w:tcW w:w="16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144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230"/>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188,715</w:t>
            </w:r>
          </w:p>
        </w:tc>
        <w:tc>
          <w:tcPr>
            <w:tcW w:w="34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189</w:t>
            </w:r>
          </w:p>
        </w:tc>
        <w:tc>
          <w:tcPr>
            <w:tcW w:w="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17,874,513</w:t>
            </w:r>
          </w:p>
        </w:tc>
        <w:tc>
          <w:tcPr>
            <w:tcW w:w="3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(14,010,414)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3,864,288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3"/>
        </w:trPr>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666,927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666,927</w:t>
            </w:r>
          </w:p>
        </w:tc>
        <w:tc>
          <w:tcPr>
            <w:tcW w:w="40" w:type="dxa"/>
            <w:vAlign w:val="bottom"/>
          </w:tcPr>
          <w:p>
            <w:pPr>
              <w:spacing w:after="0"/>
              <w:rPr>
                <w:sz w:val="24"/>
                <w:szCs w:val="24"/>
                <w:color w:val="auto"/>
              </w:rPr>
            </w:pPr>
          </w:p>
        </w:tc>
      </w:tr>
      <w:tr>
        <w:trPr>
          <w:trHeight w:val="216"/>
        </w:trPr>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546,546</w:t>
            </w:r>
          </w:p>
        </w:tc>
        <w:tc>
          <w:tcPr>
            <w:tcW w:w="10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546,546</w:t>
            </w:r>
          </w:p>
        </w:tc>
        <w:tc>
          <w:tcPr>
            <w:tcW w:w="40" w:type="dxa"/>
            <w:vAlign w:val="bottom"/>
          </w:tcPr>
          <w:p>
            <w:pPr>
              <w:spacing w:after="0"/>
              <w:rPr>
                <w:sz w:val="18"/>
                <w:szCs w:val="18"/>
                <w:color w:val="auto"/>
              </w:rPr>
            </w:pPr>
          </w:p>
        </w:tc>
      </w:tr>
      <w:tr>
        <w:trPr>
          <w:trHeight w:val="251"/>
        </w:trPr>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1"/>
              <w:spacing w:after="0"/>
              <w:rPr>
                <w:sz w:val="20"/>
                <w:szCs w:val="20"/>
                <w:color w:val="auto"/>
              </w:rPr>
            </w:pPr>
            <w:r>
              <w:rPr>
                <w:rFonts w:ascii="Arial" w:cs="Arial" w:eastAsia="Arial" w:hAnsi="Arial"/>
                <w:sz w:val="18"/>
                <w:szCs w:val="18"/>
                <w:color w:val="auto"/>
              </w:rPr>
              <w:t>(2,510,429)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(2,510,429)</w:t>
            </w:r>
          </w:p>
        </w:tc>
      </w:tr>
      <w:tr>
        <w:trPr>
          <w:trHeight w:val="230"/>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188,715</w:t>
            </w: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189</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18,421,059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(15,853,916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2,567,332</w:t>
            </w:r>
          </w:p>
        </w:tc>
        <w:tc>
          <w:tcPr>
            <w:tcW w:w="40" w:type="dxa"/>
            <w:vAlign w:val="bottom"/>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-890905</wp:posOffset>
            </wp:positionV>
            <wp:extent cx="713232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-471170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-179070</wp:posOffset>
            </wp:positionV>
            <wp:extent cx="713232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440"/>
            <w:col w:w="7820"/>
          </w:cols>
          <w:pgMar w:left="320" w:top="688" w:right="379" w:bottom="1440" w:gutter="0" w:footer="0" w:header="0"/>
          <w:type w:val="continuous"/>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8960" w:type="dxa"/>
            <w:vAlign w:val="bottom"/>
            <w:gridSpan w:val="9"/>
          </w:tcPr>
          <w:p>
            <w:pPr>
              <w:ind w:left="3520"/>
              <w:spacing w:after="0"/>
              <w:rPr>
                <w:sz w:val="20"/>
                <w:szCs w:val="20"/>
                <w:color w:val="auto"/>
              </w:rPr>
            </w:pPr>
            <w:r>
              <w:rPr>
                <w:rFonts w:ascii="Arial" w:cs="Arial" w:eastAsia="Arial" w:hAnsi="Arial"/>
                <w:sz w:val="18"/>
                <w:szCs w:val="18"/>
                <w:b w:val="1"/>
                <w:bCs w:val="1"/>
                <w:color w:val="auto"/>
              </w:rPr>
              <w:t>MOTORSPORT GAMING US LLC &amp; SUBSIDIARIES</w:t>
            </w:r>
          </w:p>
        </w:tc>
        <w:tc>
          <w:tcPr>
            <w:tcW w:w="0" w:type="dxa"/>
            <w:vAlign w:val="bottom"/>
          </w:tcPr>
          <w:p>
            <w:pPr>
              <w:spacing w:after="0"/>
              <w:rPr>
                <w:sz w:val="1"/>
                <w:szCs w:val="1"/>
                <w:color w:val="auto"/>
              </w:rPr>
            </w:pPr>
          </w:p>
        </w:tc>
      </w:tr>
      <w:tr>
        <w:trPr>
          <w:trHeight w:val="432"/>
        </w:trPr>
        <w:tc>
          <w:tcPr>
            <w:tcW w:w="8960" w:type="dxa"/>
            <w:vAlign w:val="bottom"/>
            <w:gridSpan w:val="9"/>
          </w:tcPr>
          <w:p>
            <w:pPr>
              <w:ind w:left="3560"/>
              <w:spacing w:after="0"/>
              <w:rPr>
                <w:sz w:val="20"/>
                <w:szCs w:val="20"/>
                <w:color w:val="auto"/>
              </w:rPr>
            </w:pPr>
            <w:r>
              <w:rPr>
                <w:rFonts w:ascii="Arial" w:cs="Arial" w:eastAsia="Arial" w:hAnsi="Arial"/>
                <w:sz w:val="18"/>
                <w:szCs w:val="18"/>
                <w:b w:val="1"/>
                <w:bCs w:val="1"/>
                <w:color w:val="auto"/>
              </w:rPr>
              <w:t>CONSOLIDATED STATEMENTS OF CASH FLOWS</w:t>
            </w:r>
          </w:p>
        </w:tc>
        <w:tc>
          <w:tcPr>
            <w:tcW w:w="0" w:type="dxa"/>
            <w:vAlign w:val="bottom"/>
          </w:tcPr>
          <w:p>
            <w:pPr>
              <w:spacing w:after="0"/>
              <w:rPr>
                <w:sz w:val="1"/>
                <w:szCs w:val="1"/>
                <w:color w:val="auto"/>
              </w:rPr>
            </w:pPr>
          </w:p>
        </w:tc>
      </w:tr>
      <w:tr>
        <w:trPr>
          <w:trHeight w:val="453"/>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2"/>
          </w:tcPr>
          <w:p>
            <w:pPr>
              <w:jc w:val="center"/>
              <w:ind w:right="461"/>
              <w:spacing w:after="0"/>
              <w:rPr>
                <w:sz w:val="20"/>
                <w:szCs w:val="20"/>
                <w:color w:val="auto"/>
              </w:rPr>
            </w:pPr>
            <w:r>
              <w:rPr>
                <w:rFonts w:ascii="Arial" w:cs="Arial" w:eastAsia="Arial" w:hAnsi="Arial"/>
                <w:sz w:val="18"/>
                <w:szCs w:val="18"/>
                <w:b w:val="1"/>
                <w:bCs w:val="1"/>
                <w:color w:val="auto"/>
                <w:w w:val="83"/>
              </w:rPr>
              <w:t>Successor</w:t>
            </w:r>
          </w:p>
        </w:tc>
        <w:tc>
          <w:tcPr>
            <w:tcW w:w="160" w:type="dxa"/>
            <w:vAlign w:val="bottom"/>
          </w:tcPr>
          <w:p>
            <w:pPr>
              <w:spacing w:after="0"/>
              <w:rPr>
                <w:sz w:val="24"/>
                <w:szCs w:val="2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1"/>
              </w:rPr>
              <w:t>Successor</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1"/>
              </w:rPr>
              <w:t>For the Period</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461"/>
              <w:spacing w:after="0"/>
              <w:rPr>
                <w:sz w:val="20"/>
                <w:szCs w:val="20"/>
                <w:color w:val="auto"/>
              </w:rPr>
            </w:pPr>
            <w:r>
              <w:rPr>
                <w:rFonts w:ascii="Arial" w:cs="Arial" w:eastAsia="Arial" w:hAnsi="Arial"/>
                <w:sz w:val="18"/>
                <w:szCs w:val="18"/>
                <w:b w:val="1"/>
                <w:bCs w:val="1"/>
                <w:color w:val="auto"/>
                <w:w w:val="91"/>
              </w:rPr>
              <w:t>For the Year</w:t>
            </w:r>
          </w:p>
        </w:tc>
        <w:tc>
          <w:tcPr>
            <w:tcW w:w="160" w:type="dxa"/>
            <w:vAlign w:val="bottom"/>
          </w:tcPr>
          <w:p>
            <w:pPr>
              <w:spacing w:after="0"/>
              <w:rPr>
                <w:sz w:val="18"/>
                <w:szCs w:val="18"/>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From August 15,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461"/>
              <w:spacing w:after="0"/>
              <w:rPr>
                <w:sz w:val="20"/>
                <w:szCs w:val="20"/>
                <w:color w:val="auto"/>
              </w:rPr>
            </w:pPr>
            <w:r>
              <w:rPr>
                <w:rFonts w:ascii="Arial" w:cs="Arial" w:eastAsia="Arial" w:hAnsi="Arial"/>
                <w:sz w:val="18"/>
                <w:szCs w:val="18"/>
                <w:b w:val="1"/>
                <w:bCs w:val="1"/>
                <w:color w:val="auto"/>
                <w:w w:val="90"/>
              </w:rPr>
              <w:t>Ended December 31,</w:t>
            </w:r>
          </w:p>
        </w:tc>
        <w:tc>
          <w:tcPr>
            <w:tcW w:w="160" w:type="dxa"/>
            <w:vAlign w:val="bottom"/>
          </w:tcPr>
          <w:p>
            <w:pPr>
              <w:spacing w:after="0"/>
              <w:rPr>
                <w:sz w:val="18"/>
                <w:szCs w:val="18"/>
                <w:color w:val="auto"/>
              </w:rPr>
            </w:pPr>
          </w:p>
        </w:tc>
        <w:tc>
          <w:tcPr>
            <w:tcW w:w="2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2018 to December 31,</w:t>
            </w: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201"/>
              <w:spacing w:after="0"/>
              <w:rPr>
                <w:sz w:val="20"/>
                <w:szCs w:val="20"/>
                <w:color w:val="auto"/>
              </w:rPr>
            </w:pPr>
            <w:r>
              <w:rPr>
                <w:rFonts w:ascii="Arial" w:cs="Arial" w:eastAsia="Arial" w:hAnsi="Arial"/>
                <w:sz w:val="18"/>
                <w:szCs w:val="18"/>
                <w:color w:val="auto"/>
              </w:rPr>
              <w:t>(5,755,564)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1,359,253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cash (used in) provided by operating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861,872</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408,078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Sales return and price protection reserves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55,083</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1,836,598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Loss on impairment of goodwill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575,015</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Loss on equity method investee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608,656</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56,339</w:t>
            </w:r>
          </w:p>
        </w:tc>
        <w:tc>
          <w:tcPr>
            <w:tcW w:w="16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(6,026,720)</w:t>
            </w: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5,402</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1,149,771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01"/>
              <w:spacing w:after="0"/>
              <w:rPr>
                <w:sz w:val="20"/>
                <w:szCs w:val="20"/>
                <w:color w:val="auto"/>
              </w:rPr>
            </w:pPr>
            <w:r>
              <w:rPr>
                <w:rFonts w:ascii="Arial" w:cs="Arial" w:eastAsia="Arial" w:hAnsi="Arial"/>
                <w:sz w:val="18"/>
                <w:szCs w:val="18"/>
                <w:color w:val="auto"/>
              </w:rPr>
              <w:t>(5,582)</w:t>
            </w:r>
          </w:p>
        </w:tc>
        <w:tc>
          <w:tcPr>
            <w:tcW w:w="16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(49,781)</w:t>
            </w: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01"/>
              <w:spacing w:after="0"/>
              <w:rPr>
                <w:sz w:val="20"/>
                <w:szCs w:val="20"/>
                <w:color w:val="auto"/>
              </w:rPr>
            </w:pPr>
            <w:r>
              <w:rPr>
                <w:rFonts w:ascii="Arial" w:cs="Arial" w:eastAsia="Arial" w:hAnsi="Arial"/>
                <w:sz w:val="18"/>
                <w:szCs w:val="18"/>
                <w:color w:val="auto"/>
              </w:rPr>
              <w:t>(565,287)</w:t>
            </w:r>
          </w:p>
        </w:tc>
        <w:tc>
          <w:tcPr>
            <w:tcW w:w="16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(145,566)</w:t>
            </w: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01"/>
              <w:spacing w:after="0"/>
              <w:rPr>
                <w:sz w:val="20"/>
                <w:szCs w:val="20"/>
                <w:color w:val="auto"/>
              </w:rPr>
            </w:pPr>
            <w:r>
              <w:rPr>
                <w:rFonts w:ascii="Arial" w:cs="Arial" w:eastAsia="Arial" w:hAnsi="Arial"/>
                <w:sz w:val="18"/>
                <w:szCs w:val="18"/>
                <w:color w:val="auto"/>
              </w:rPr>
              <w:t>(260,780)</w:t>
            </w:r>
          </w:p>
        </w:tc>
        <w:tc>
          <w:tcPr>
            <w:tcW w:w="16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(825,918)</w:t>
            </w: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160" w:type="dxa"/>
            <w:vAlign w:val="bottom"/>
          </w:tcPr>
          <w:p>
            <w:pPr>
              <w:ind w:left="5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160" w:type="dxa"/>
            <w:vAlign w:val="bottom"/>
          </w:tcPr>
          <w:p>
            <w:pPr>
              <w:ind w:left="720"/>
              <w:spacing w:after="0" w:line="184" w:lineRule="exact"/>
              <w:rPr>
                <w:sz w:val="20"/>
                <w:szCs w:val="20"/>
                <w:color w:val="auto"/>
              </w:rPr>
            </w:pPr>
            <w:r>
              <w:rPr>
                <w:rFonts w:ascii="Arial" w:cs="Arial" w:eastAsia="Arial" w:hAnsi="Arial"/>
                <w:sz w:val="18"/>
                <w:szCs w:val="18"/>
                <w:b w:val="1"/>
                <w:bCs w:val="1"/>
                <w:color w:val="auto"/>
                <w:w w:val="94"/>
              </w:rPr>
              <w:t>Net Cash (Used In) Provided By Operating</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16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00" w:type="dxa"/>
            <w:vAlign w:val="bottom"/>
            <w:gridSpan w:val="2"/>
          </w:tcPr>
          <w:p>
            <w:pPr>
              <w:jc w:val="right"/>
              <w:ind w:right="201"/>
              <w:spacing w:after="0"/>
              <w:rPr>
                <w:sz w:val="20"/>
                <w:szCs w:val="20"/>
                <w:color w:val="auto"/>
              </w:rPr>
            </w:pPr>
            <w:r>
              <w:rPr>
                <w:rFonts w:ascii="Arial" w:cs="Arial" w:eastAsia="Arial" w:hAnsi="Arial"/>
                <w:sz w:val="18"/>
                <w:szCs w:val="18"/>
                <w:color w:val="auto"/>
              </w:rPr>
              <w:t>(4,424,846)</w:t>
            </w:r>
          </w:p>
        </w:tc>
        <w:tc>
          <w:tcPr>
            <w:tcW w:w="160" w:type="dxa"/>
            <w:vAlign w:val="bottom"/>
          </w:tcPr>
          <w:p>
            <w:pPr>
              <w:spacing w:after="0"/>
              <w:rPr>
                <w:sz w:val="22"/>
                <w:szCs w:val="22"/>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(2,294,285)</w:t>
            </w:r>
          </w:p>
        </w:tc>
        <w:tc>
          <w:tcPr>
            <w:tcW w:w="0" w:type="dxa"/>
            <w:vAlign w:val="bottom"/>
          </w:tcPr>
          <w:p>
            <w:pPr>
              <w:spacing w:after="0"/>
              <w:rPr>
                <w:sz w:val="1"/>
                <w:szCs w:val="1"/>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Cash acquired in the purchase of 704Games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1,232,974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Acquisition of equity method investee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01"/>
              <w:spacing w:after="0"/>
              <w:rPr>
                <w:sz w:val="20"/>
                <w:szCs w:val="20"/>
                <w:color w:val="auto"/>
              </w:rPr>
            </w:pPr>
            <w:r>
              <w:rPr>
                <w:rFonts w:ascii="Arial" w:cs="Arial" w:eastAsia="Arial" w:hAnsi="Arial"/>
                <w:sz w:val="18"/>
                <w:szCs w:val="18"/>
                <w:color w:val="auto"/>
              </w:rPr>
              <w:t>(484,335)</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160" w:type="dxa"/>
            <w:vAlign w:val="bottom"/>
          </w:tcPr>
          <w:p>
            <w:pPr>
              <w:ind w:left="54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2"/>
          </w:tcPr>
          <w:p>
            <w:pPr>
              <w:jc w:val="right"/>
              <w:ind w:right="201"/>
              <w:spacing w:after="0"/>
              <w:rPr>
                <w:sz w:val="20"/>
                <w:szCs w:val="20"/>
                <w:color w:val="auto"/>
              </w:rPr>
            </w:pPr>
            <w:r>
              <w:rPr>
                <w:rFonts w:ascii="Arial" w:cs="Arial" w:eastAsia="Arial" w:hAnsi="Arial"/>
                <w:sz w:val="18"/>
                <w:szCs w:val="18"/>
                <w:color w:val="auto"/>
              </w:rPr>
              <w:t>(108,293)</w:t>
            </w:r>
          </w:p>
        </w:tc>
        <w:tc>
          <w:tcPr>
            <w:tcW w:w="16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184"/>
        </w:trPr>
        <w:tc>
          <w:tcPr>
            <w:tcW w:w="4160" w:type="dxa"/>
            <w:vAlign w:val="bottom"/>
          </w:tcPr>
          <w:p>
            <w:pPr>
              <w:ind w:left="720"/>
              <w:spacing w:after="0" w:line="184" w:lineRule="exact"/>
              <w:rPr>
                <w:sz w:val="20"/>
                <w:szCs w:val="20"/>
                <w:color w:val="auto"/>
              </w:rPr>
            </w:pPr>
            <w:r>
              <w:rPr>
                <w:rFonts w:ascii="Arial" w:cs="Arial" w:eastAsia="Arial" w:hAnsi="Arial"/>
                <w:sz w:val="18"/>
                <w:szCs w:val="18"/>
                <w:b w:val="1"/>
                <w:bCs w:val="1"/>
                <w:color w:val="auto"/>
                <w:w w:val="96"/>
              </w:rPr>
              <w:t>Net Cash (Used In) Provided By Investing</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16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00" w:type="dxa"/>
            <w:vAlign w:val="bottom"/>
            <w:gridSpan w:val="2"/>
          </w:tcPr>
          <w:p>
            <w:pPr>
              <w:jc w:val="right"/>
              <w:ind w:right="201"/>
              <w:spacing w:after="0"/>
              <w:rPr>
                <w:sz w:val="20"/>
                <w:szCs w:val="20"/>
                <w:color w:val="auto"/>
              </w:rPr>
            </w:pPr>
            <w:r>
              <w:rPr>
                <w:rFonts w:ascii="Arial" w:cs="Arial" w:eastAsia="Arial" w:hAnsi="Arial"/>
                <w:sz w:val="18"/>
                <w:szCs w:val="18"/>
                <w:color w:val="auto"/>
              </w:rPr>
              <w:t>(592,628)</w:t>
            </w:r>
          </w:p>
        </w:tc>
        <w:tc>
          <w:tcPr>
            <w:tcW w:w="160" w:type="dxa"/>
            <w:vAlign w:val="bottom"/>
          </w:tcPr>
          <w:p>
            <w:pPr>
              <w:spacing w:after="0"/>
              <w:rPr>
                <w:sz w:val="22"/>
                <w:szCs w:val="22"/>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1,226,516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rPr>
              <w:t>Repayment of notes payable - related parties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40"/>
              <w:spacing w:after="0"/>
              <w:rPr>
                <w:sz w:val="20"/>
                <w:szCs w:val="20"/>
                <w:color w:val="auto"/>
              </w:rPr>
            </w:pPr>
            <w:r>
              <w:rPr>
                <w:rFonts w:ascii="Arial" w:cs="Arial" w:eastAsia="Arial" w:hAnsi="Arial"/>
                <w:sz w:val="18"/>
                <w:szCs w:val="18"/>
                <w:color w:val="auto"/>
                <w:w w:val="96"/>
              </w:rPr>
              <w:t>Proceeds from (repayments of) advances from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160" w:type="dxa"/>
            <w:vAlign w:val="bottom"/>
          </w:tcPr>
          <w:p>
            <w:pPr>
              <w:ind w:left="540"/>
              <w:spacing w:after="0"/>
              <w:rPr>
                <w:sz w:val="20"/>
                <w:szCs w:val="20"/>
                <w:color w:val="auto"/>
              </w:rPr>
            </w:pPr>
            <w:r>
              <w:rPr>
                <w:rFonts w:ascii="Arial" w:cs="Arial" w:eastAsia="Arial" w:hAnsi="Arial"/>
                <w:sz w:val="18"/>
                <w:szCs w:val="18"/>
                <w:color w:val="auto"/>
              </w:rPr>
              <w:t>related parties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3,564,326</w:t>
            </w:r>
          </w:p>
        </w:tc>
        <w:tc>
          <w:tcPr>
            <w:tcW w:w="160" w:type="dxa"/>
            <w:vAlign w:val="bottom"/>
          </w:tcPr>
          <w:p>
            <w:pPr>
              <w:spacing w:after="0"/>
              <w:rPr>
                <w:sz w:val="21"/>
                <w:szCs w:val="21"/>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4,481,196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160" w:type="dxa"/>
            <w:vAlign w:val="bottom"/>
          </w:tcPr>
          <w:p>
            <w:pPr>
              <w:ind w:left="720"/>
              <w:spacing w:after="0" w:line="184" w:lineRule="exact"/>
              <w:rPr>
                <w:sz w:val="20"/>
                <w:szCs w:val="20"/>
                <w:color w:val="auto"/>
              </w:rPr>
            </w:pPr>
            <w:r>
              <w:rPr>
                <w:rFonts w:ascii="Arial" w:cs="Arial" w:eastAsia="Arial" w:hAnsi="Arial"/>
                <w:sz w:val="18"/>
                <w:szCs w:val="18"/>
                <w:b w:val="1"/>
                <w:bCs w:val="1"/>
                <w:color w:val="auto"/>
                <w:w w:val="94"/>
              </w:rPr>
              <w:t>Net Cash Provided By (Used In) Financing</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16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3,564,326</w:t>
            </w:r>
          </w:p>
        </w:tc>
        <w:tc>
          <w:tcPr>
            <w:tcW w:w="160" w:type="dxa"/>
            <w:vAlign w:val="bottom"/>
          </w:tcPr>
          <w:p>
            <w:pPr>
              <w:spacing w:after="0"/>
              <w:rPr>
                <w:sz w:val="22"/>
                <w:szCs w:val="22"/>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4,481,196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720"/>
              <w:spacing w:after="0"/>
              <w:rPr>
                <w:sz w:val="20"/>
                <w:szCs w:val="20"/>
                <w:color w:val="auto"/>
              </w:rPr>
            </w:pPr>
            <w:r>
              <w:rPr>
                <w:rFonts w:ascii="Arial" w:cs="Arial" w:eastAsia="Arial" w:hAnsi="Arial"/>
                <w:sz w:val="18"/>
                <w:szCs w:val="18"/>
                <w:b w:val="1"/>
                <w:bCs w:val="1"/>
                <w:color w:val="auto"/>
              </w:rPr>
              <w:t>Net (Decrease) Increase In Cash</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(1,453,148)</w:t>
            </w:r>
          </w:p>
        </w:tc>
        <w:tc>
          <w:tcPr>
            <w:tcW w:w="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3,413,427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4160" w:type="dxa"/>
            <w:vAlign w:val="bottom"/>
          </w:tcPr>
          <w:p>
            <w:pPr>
              <w:spacing w:after="0"/>
              <w:rPr>
                <w:sz w:val="20"/>
                <w:szCs w:val="20"/>
                <w:color w:val="auto"/>
              </w:rPr>
            </w:pPr>
            <w:r>
              <w:rPr>
                <w:rFonts w:ascii="Arial" w:cs="Arial" w:eastAsia="Arial" w:hAnsi="Arial"/>
                <w:sz w:val="18"/>
                <w:szCs w:val="18"/>
                <w:b w:val="1"/>
                <w:bCs w:val="1"/>
                <w:color w:val="auto"/>
              </w:rPr>
              <w:t>Cash - Beginning of the Period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3,413,427</w:t>
            </w:r>
          </w:p>
        </w:tc>
        <w:tc>
          <w:tcPr>
            <w:tcW w:w="160" w:type="dxa"/>
            <w:vAlign w:val="bottom"/>
          </w:tcPr>
          <w:p>
            <w:pPr>
              <w:spacing w:after="0"/>
              <w:rPr>
                <w:sz w:val="24"/>
                <w:szCs w:val="24"/>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1,960,279</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3,413,427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160" w:type="dxa"/>
            <w:vAlign w:val="bottom"/>
          </w:tcPr>
          <w:p>
            <w:pPr>
              <w:spacing w:after="0"/>
              <w:rPr>
                <w:sz w:val="20"/>
                <w:szCs w:val="20"/>
                <w:color w:val="auto"/>
              </w:rPr>
            </w:pPr>
            <w:r>
              <w:rPr>
                <w:rFonts w:ascii="Arial" w:cs="Arial" w:eastAsia="Arial" w:hAnsi="Arial"/>
                <w:sz w:val="18"/>
                <w:szCs w:val="18"/>
                <w:b w:val="1"/>
                <w:bCs w:val="1"/>
                <w:color w:val="auto"/>
              </w:rPr>
              <w:t>Information: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720"/>
              <w:spacing w:after="0"/>
              <w:rPr>
                <w:sz w:val="20"/>
                <w:szCs w:val="20"/>
                <w:color w:val="auto"/>
              </w:rPr>
            </w:pPr>
            <w:r>
              <w:rPr>
                <w:rFonts w:ascii="Arial" w:cs="Arial" w:eastAsia="Arial" w:hAnsi="Arial"/>
                <w:sz w:val="18"/>
                <w:szCs w:val="18"/>
                <w:color w:val="auto"/>
              </w:rPr>
              <w:t>Reduction in other current assets due to</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720"/>
              <w:spacing w:after="0"/>
              <w:rPr>
                <w:sz w:val="20"/>
                <w:szCs w:val="20"/>
                <w:color w:val="auto"/>
              </w:rPr>
            </w:pPr>
            <w:r>
              <w:rPr>
                <w:rFonts w:ascii="Arial" w:cs="Arial" w:eastAsia="Arial" w:hAnsi="Arial"/>
                <w:sz w:val="18"/>
                <w:szCs w:val="18"/>
                <w:color w:val="auto"/>
              </w:rPr>
              <w:t>adoption of ASC 606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720"/>
              <w:spacing w:after="0" w:line="195" w:lineRule="exact"/>
              <w:rPr>
                <w:sz w:val="20"/>
                <w:szCs w:val="20"/>
                <w:color w:val="auto"/>
              </w:rPr>
            </w:pPr>
            <w:r>
              <w:rPr>
                <w:rFonts w:ascii="Arial" w:cs="Arial" w:eastAsia="Arial" w:hAnsi="Arial"/>
                <w:sz w:val="18"/>
                <w:szCs w:val="18"/>
                <w:color w:val="auto"/>
              </w:rPr>
              <w:t>Reduction in deferred revenue due to</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720"/>
              <w:spacing w:after="0"/>
              <w:rPr>
                <w:sz w:val="20"/>
                <w:szCs w:val="20"/>
                <w:color w:val="auto"/>
              </w:rPr>
            </w:pPr>
            <w:r>
              <w:rPr>
                <w:rFonts w:ascii="Arial" w:cs="Arial" w:eastAsia="Arial" w:hAnsi="Arial"/>
                <w:sz w:val="18"/>
                <w:szCs w:val="18"/>
                <w:color w:val="auto"/>
              </w:rPr>
              <w:t>adoption of ASC 606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720"/>
              <w:spacing w:after="0" w:line="195" w:lineRule="exact"/>
              <w:rPr>
                <w:sz w:val="20"/>
                <w:szCs w:val="20"/>
                <w:color w:val="auto"/>
              </w:rPr>
            </w:pPr>
            <w:r>
              <w:rPr>
                <w:rFonts w:ascii="Arial" w:cs="Arial" w:eastAsia="Arial" w:hAnsi="Arial"/>
                <w:sz w:val="18"/>
                <w:szCs w:val="18"/>
                <w:color w:val="auto"/>
              </w:rPr>
              <w:t>Net assets (excluding cash) attributable to</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720"/>
              <w:spacing w:after="0"/>
              <w:rPr>
                <w:sz w:val="20"/>
                <w:szCs w:val="20"/>
                <w:color w:val="auto"/>
              </w:rPr>
            </w:pPr>
            <w:r>
              <w:rPr>
                <w:rFonts w:ascii="Arial" w:cs="Arial" w:eastAsia="Arial" w:hAnsi="Arial"/>
                <w:sz w:val="18"/>
                <w:szCs w:val="18"/>
                <w:color w:val="auto"/>
              </w:rPr>
              <w:t>Motorsport Gaming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900"/>
              <w:spacing w:after="0"/>
              <w:rPr>
                <w:sz w:val="20"/>
                <w:szCs w:val="20"/>
                <w:color w:val="auto"/>
              </w:rPr>
            </w:pPr>
            <w:r>
              <w:rPr>
                <w:rFonts w:ascii="Arial" w:cs="Arial" w:eastAsia="Arial" w:hAnsi="Arial"/>
                <w:sz w:val="18"/>
                <w:szCs w:val="18"/>
                <w:color w:val="auto"/>
              </w:rPr>
              <w:t>US LLC acquired in the acquisition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900"/>
              <w:spacing w:after="0"/>
              <w:rPr>
                <w:sz w:val="20"/>
                <w:szCs w:val="20"/>
                <w:color w:val="auto"/>
              </w:rPr>
            </w:pPr>
            <w:r>
              <w:rPr>
                <w:rFonts w:ascii="Arial" w:cs="Arial" w:eastAsia="Arial" w:hAnsi="Arial"/>
                <w:sz w:val="18"/>
                <w:szCs w:val="18"/>
                <w:color w:val="auto"/>
              </w:rPr>
              <w:t>704Games Company</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7,053,444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720"/>
              <w:spacing w:after="0"/>
              <w:rPr>
                <w:sz w:val="20"/>
                <w:szCs w:val="20"/>
                <w:color w:val="auto"/>
              </w:rPr>
            </w:pPr>
            <w:r>
              <w:rPr>
                <w:rFonts w:ascii="Arial" w:cs="Arial" w:eastAsia="Arial" w:hAnsi="Arial"/>
                <w:sz w:val="18"/>
                <w:szCs w:val="18"/>
                <w:color w:val="auto"/>
              </w:rPr>
              <w:t>Accrued loss on equity method investee</w:t>
            </w:r>
          </w:p>
        </w:tc>
        <w:tc>
          <w:tcPr>
            <w:tcW w:w="12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(124,321</w:t>
            </w:r>
          </w:p>
        </w:tc>
        <w:tc>
          <w:tcPr>
            <w:tcW w:w="3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-8760460</wp:posOffset>
            </wp:positionV>
            <wp:extent cx="7132320" cy="87439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743950"/>
                    </a:xfrm>
                    <a:prstGeom prst="rect">
                      <a:avLst/>
                    </a:prstGeom>
                    <a:noFill/>
                  </pic:spPr>
                </pic:pic>
              </a:graphicData>
            </a:graphic>
          </wp:anchor>
        </w:drawing>
      </w:r>
    </w:p>
    <w:p>
      <w:pPr>
        <w:spacing w:after="0" w:line="182"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Predecessor</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Period</w:t>
      </w:r>
    </w:p>
    <w:p>
      <w:pPr>
        <w:spacing w:after="0" w:line="27" w:lineRule="exact"/>
        <w:rPr>
          <w:sz w:val="20"/>
          <w:szCs w:val="20"/>
          <w:color w:val="auto"/>
        </w:rPr>
      </w:pPr>
    </w:p>
    <w:p>
      <w:pPr>
        <w:jc w:val="center"/>
        <w:ind w:left="260" w:right="40"/>
        <w:spacing w:after="0" w:line="255" w:lineRule="auto"/>
        <w:rPr>
          <w:sz w:val="20"/>
          <w:szCs w:val="20"/>
          <w:color w:val="auto"/>
        </w:rPr>
      </w:pPr>
      <w:r>
        <w:rPr>
          <w:rFonts w:ascii="Arial" w:cs="Arial" w:eastAsia="Arial" w:hAnsi="Arial"/>
          <w:sz w:val="18"/>
          <w:szCs w:val="18"/>
          <w:b w:val="1"/>
          <w:bCs w:val="1"/>
          <w:color w:val="auto"/>
        </w:rPr>
        <w:t>From January 1, 2018 to August 14, 2018</w:t>
      </w:r>
    </w:p>
    <w:p>
      <w:pPr>
        <w:spacing w:after="0" w:line="200" w:lineRule="exact"/>
        <w:rPr>
          <w:sz w:val="20"/>
          <w:szCs w:val="20"/>
          <w:color w:val="auto"/>
        </w:rPr>
      </w:pPr>
    </w:p>
    <w:p>
      <w:pPr>
        <w:spacing w:after="0" w:line="233" w:lineRule="exact"/>
        <w:rPr>
          <w:sz w:val="20"/>
          <w:szCs w:val="20"/>
          <w:color w:val="auto"/>
        </w:rPr>
      </w:pPr>
    </w:p>
    <w:p>
      <w:pPr>
        <w:ind w:left="1140" w:hanging="1132"/>
        <w:spacing w:after="0"/>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(2,510,429)</w:t>
      </w:r>
    </w:p>
    <w:p>
      <w:pPr>
        <w:spacing w:after="0" w:line="200" w:lineRule="exact"/>
        <w:rPr>
          <w:sz w:val="20"/>
          <w:szCs w:val="20"/>
          <w:color w:val="auto"/>
        </w:rPr>
      </w:pPr>
    </w:p>
    <w:p>
      <w:pPr>
        <w:spacing w:after="0" w:line="26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546,546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53,411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(2,151,487)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5,700,890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(1,147,461)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71,862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(6,367)</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832,115</w:t>
      </w:r>
    </w:p>
    <w:p>
      <w:pPr>
        <w:spacing w:after="0" w:line="26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1,392,061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(17,420)</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(17,420)</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(750,000)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(38,813)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(788,813)</w:t>
      </w:r>
    </w:p>
    <w:p>
      <w:pPr>
        <w:spacing w:after="0" w:line="5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585,828</w:t>
      </w:r>
    </w:p>
    <w:p>
      <w:pPr>
        <w:spacing w:after="0" w:line="23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647,147</w:t>
      </w:r>
    </w:p>
    <w:p>
      <w:pPr>
        <w:spacing w:after="0" w:line="50" w:lineRule="exact"/>
        <w:rPr>
          <w:sz w:val="20"/>
          <w:szCs w:val="20"/>
          <w:color w:val="auto"/>
        </w:rPr>
      </w:pPr>
    </w:p>
    <w:p>
      <w:pPr>
        <w:ind w:left="1200" w:hanging="1192"/>
        <w:spacing w:after="0"/>
        <w:tabs>
          <w:tab w:leader="none" w:pos="12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1,232,975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67,375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20" w:hanging="1312"/>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267,324</w:t>
      </w:r>
    </w:p>
    <w:p>
      <w:pPr>
        <w:spacing w:after="0" w:line="266" w:lineRule="exact"/>
        <w:rPr>
          <w:sz w:val="20"/>
          <w:szCs w:val="20"/>
          <w:color w:val="auto"/>
        </w:rPr>
      </w:pPr>
    </w:p>
    <w:p>
      <w:pPr>
        <w:ind w:left="1320" w:hanging="1312"/>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934,249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bottom w:val="single" w:sz="8" w:color="auto"/>
            </w:tcBorders>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960" w:space="260"/>
            <w:col w:w="1980"/>
          </w:cols>
          <w:pgMar w:left="320" w:top="688" w:right="379" w:bottom="65"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ORGANIZATION AND NATURE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Motorsport Gaming US LLC (“Motorsport Games”) was established on August 2, 2018 under the laws of the State of Florida. Motorsport Gaming US LLC, through its subsidiaries, including 704Games Company (“704Games”), which Motorsport Games acquired a 53.5% equity interest in on August 14, 2018 (collectively, the “Company”), is a leading racing game developer, publisher and esports ecosystem provider of official motorsport racing series throughout the world, including NASCAR, the iconic 24 Hours of Le Mans endurance race and the associated World Endurance Championship, the British Touring Car Championship (the “BTCC”) and others. The Company develops and publishes multi-platform racing video games including for game consoles, personal computer (PC) and mobile platforms. As of the date the financial statements were issued, Motorsport Games’ wholly owned and majority owned subsidiaries were as follows:</w:t>
      </w:r>
    </w:p>
    <w:p>
      <w:pPr>
        <w:spacing w:after="0" w:line="195"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704Games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Racing Pro League,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MS Gaming Development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Motorsport Games Limited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Company organizes and facilitates esports tournaments, competitions, and events for its licensed racing games as well as on behalf of third-party racing game developers and publishers.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has not yet achieved profitability and expects to continue to incur cash outflows from operations. It is expected that its operating expenses will continue to increase and, as a result, the Company will eventually need to generate significant revenues to achieve profitability.</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expects that its cash on hand will fund its operations for at least one year from the date the financial statements were issued. Although the Company’s management believes that it has access to capital resources, there are currently no commitments in place for new financing at this time and there is no assurance that the Company will be able to obtain funds on commercially acceptable terms, if at all. If the Company is unable to obtain adequate funds on reasonable terms, it may be required to significantly curtail or discontinue operations or obtain funds by entering into financing agreements on unattractive terms. The Company’s operating needs include the planned costs to operate its business, including amounts required to fund working capital and capital expenditures.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operations of the Company and its wholly owned and majority owned subsidiaries. The interests of non-controlling members are reflected as non-controlling interest in the accompanying consolidated financial statements. All intercompany balances and transactions have been eliminated in consolidation. Unless otherwise indicated, information in these notes to the consolidated financial statements relates to continuing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18, 2019, the Company formed its subsidiary, Racing Pro League, LLC, under the laws of the 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15, 2019, Motorsport Games entered into a joint venture agreement whereby the parties formed Le Mans Esports Series Limited (“Le Mans”), of which Motorsport Games acquired a 45% ownership interest. The Company accounts for its investment in its unconsolidated entity, Le Mans, using the equity method of accounting in accordance with Accounting Standards Codification (“ASC”) 323. The equity method is an appropriate means of recognizing increases or decreases measured by U.S. GAAP in the economic resources underlying the investments. Under the equity method, an investor recognizes its share of the earnings or losses of an investee in the periods for which they are reported by the investee in its financial statements rather than in the period in which an investee declares a dividend or distribution. An investor adjusts the carrying amount of an investment for its share of the earnings or losses recognized by the investee. See Note 10 – Commitments and Contingencies – Joint Venture Agreement for additional details.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4, 2019, the Company formed its wholly owned subsidiary, MS Gaming Development LLC, under the laws of Russia.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consolidated financial statements for the period from August 15, 2018 to December 31, 2018 and for the year ended December 31, 2019 include the accounts of Motorsport Games and its subsidiaries, including 704Games (“Successor”). All significant inter-company accounts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Predecessor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for the period from January 1, 2018 to August 14, 2018 include the accounts of 704Games (“Predecessor”).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Predecessor and Successor Periods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result of the Company’s acquisition of a 53.5% equity interest in 704Games in August 2018, Motorsport Games is the acquirer for accounting purposes and 704Games is the acquiree and the accounting predecessor. The financial statement presentation distinguishes the results into two distinct periods, the period up to August 14, 2018 (the “Acquisition Date”) (“Predecessor Period”) and the periods including and after that date (the “Successor Period”). The transaction was accounted for as a business combination using the acquisition method of accounting and the Successor financial statements reflect a new basis of accounting that is based on the fair value of the net assets acquired.</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application of the acquisition method of accounting as of the effective time of the transaction, the accompanying consolidated financial statements include a black line division which indicates that the Predecessor and Successor reporting entities shown are presented on a different basis and are, therefore, not directly comparable. Due to the acquisition accounting, acquired assets and assumed liabilities have been recorded at fair value as of the acquisition date. As such, the predecessor and successor presentation may not be directly comparable.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significant estimates used in these consolidated financial statements include, but are not limited to, revenue recognition criteria, including reserves for sales returns and price protection, valuation allowance of deferred income taxes, valuation of acquired companies and equity investments, the recognition and disclosure of contingent liabilities, and goodwill and intangible assets impairment testing. Certain of the Company’s estimates could be affected by external conditions, including those unique to the Company and general economic conditions. It is reasonably possible that these external factors could have an effect on the Company’s estimates and may cause actual results to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considers all highly-liquid instruments with an original maturity of three months or less when purchased to be cash equivalents. As of December 31, 2019 and 2018, the Company did not have any cash equivalents. The Company maintains cash in bank accounts, which, at times, may exceed Federal Deposit Insurance Corporation (“FDIC”) insured limits. The Company has not experienced any losses in such accounts, periodically evaluates the creditworthiness of the financial institutions and has determined the credit exposure to be negligible. As of December 31, 2019 and 2018, the Company had $1,487,254 and $3,163,125 of domestic cash balances in excess of FDIC insured limits. The Company’s foreign bank accounts are not subject to FDIC insurance.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Accounts receivable are carried at their contractual amounts, less an estimate for sales allowances. Management estimates the allowance for sales based on previous experience, existing economic conditions, actual sales and inventories on hand. See Note 2 – Summary of Significant Accounting Policies – Revenue Recognition and Sales Allowances - Sales Allowance, Sales Returns and Price Protection Reserves for additional details.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Balances that are still outstanding after management has performed reasonable collection efforts are written off through a charge to the allowance and a credit to accounts receivable. As of December 31, 2019 and 2018, the Company determined that all of its accounts receivable were fully collectible and, accordingly, no allowance for doubtful accounts was recorded. Sales allowances for the Successor Periods ending December 31, 2019 and 2018 were $2,483,147 and $1,782,403,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which is provided on the straight-line method over the estimated useful lives of the assets. Expenditures for maintenance and repairs are expensed as incurred.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Equipment, furniture and fixtures are depreciated over a range of three to five years. Leasehold improvements are amortized over the lives of the leases or estimated useful lives of the assets, whichever is shorter. When assets are sold or otherwise retired, the costs and accumulated depreciation are removed from the books and the resulting gain or loss is included in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recorded goodwill in connection with its acquisition of 704Games. Under ASC 350, Intangibles—Goodwill and Other (“ASC 350”), goodwill is not amortized but is reviewed annually for impairment, or more frequently, if impairment indicators arise which may indicate that the Company may not be able to recover the carrying amount of the net assets of the reporting unit. The Company has determined that its reporting units align with its operating segments. See Note 13 – Segment Reporting. In evaluating goodwill for impairment, the Company may assess qualitative factors to determine whether it is more likely than not (that is, a likelihood of more than 50%) that the fair value of a reporting unit is less than its carrying amount. If the Company bypasses the qualitative assessment, or if the Company concludes that it is more likely than not that the fair value of a reporting unit is less than its carrying value, then the Company performs a one-step quantitative impairment test by comparing the fair value of a reporting unit with its carrying amount and recognizes a loss on impairment in the event the carrying value exceeds the fair value. In assessing the fair value of a reporting unit, the Company utilizes the Income Approach-Discounted Cash Flow Method as well as the Market Approach-Guideline Public Company Method. See Note 6 – Goodwill for details.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Intangible assets that have finite lives are amortized over their estimated useful lives and are subject to the provisions of ASC 350. The Company’s intangible assets consist of the following which were acquired in connection with the acquisition of 704Games: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2180" w:type="dxa"/>
            <w:vAlign w:val="bottom"/>
          </w:tcPr>
          <w:p>
            <w:pPr>
              <w:spacing w:after="0"/>
              <w:rPr>
                <w:sz w:val="20"/>
                <w:szCs w:val="20"/>
                <w:color w:val="auto"/>
              </w:rPr>
            </w:pPr>
            <w:r>
              <w:rPr>
                <w:rFonts w:ascii="Arial" w:cs="Arial" w:eastAsia="Arial" w:hAnsi="Arial"/>
                <w:sz w:val="18"/>
                <w:szCs w:val="18"/>
                <w:b w:val="1"/>
                <w:bCs w:val="1"/>
                <w:color w:val="auto"/>
              </w:rPr>
              <w:t>Useful Life</w:t>
            </w:r>
          </w:p>
        </w:tc>
      </w:tr>
      <w:tr>
        <w:trPr>
          <w:trHeight w:val="202"/>
        </w:trPr>
        <w:tc>
          <w:tcPr>
            <w:tcW w:w="2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License agreements</w:t>
            </w:r>
          </w:p>
        </w:tc>
        <w:tc>
          <w:tcPr>
            <w:tcW w:w="10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16 years</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180" w:type="dxa"/>
            <w:vAlign w:val="bottom"/>
          </w:tcPr>
          <w:p>
            <w:pPr>
              <w:spacing w:after="0"/>
              <w:rPr>
                <w:sz w:val="20"/>
                <w:szCs w:val="20"/>
                <w:color w:val="auto"/>
              </w:rPr>
            </w:pPr>
            <w:r>
              <w:rPr>
                <w:rFonts w:ascii="Arial" w:cs="Arial" w:eastAsia="Arial" w:hAnsi="Arial"/>
                <w:sz w:val="18"/>
                <w:szCs w:val="18"/>
                <w:color w:val="auto"/>
              </w:rPr>
              <w:t>10 years</w:t>
            </w: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Distribution contracts</w:t>
            </w:r>
          </w:p>
        </w:tc>
        <w:tc>
          <w:tcPr>
            <w:tcW w:w="2180" w:type="dxa"/>
            <w:vAlign w:val="bottom"/>
          </w:tcPr>
          <w:p>
            <w:pPr>
              <w:spacing w:after="0"/>
              <w:rPr>
                <w:sz w:val="20"/>
                <w:szCs w:val="20"/>
                <w:color w:val="auto"/>
              </w:rPr>
            </w:pPr>
            <w:r>
              <w:rPr>
                <w:rFonts w:ascii="Arial" w:cs="Arial" w:eastAsia="Arial" w:hAnsi="Arial"/>
                <w:sz w:val="18"/>
                <w:szCs w:val="18"/>
                <w:color w:val="auto"/>
              </w:rPr>
              <w:t>1 year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reviews for impairment of long-lived assets on an annual basis or whenever events or changes in circumstances indicate that the carrying amount of an asset might not be recoverable. An impairment would be recognized when estimated future cash flows expected to result from the use of the asset and its eventual disposition are less than its carrying amount.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measures the fair value of financial assets and liabilities based on ASC 820 “Fair Value Measurements and Disclosures” (“ASC 820”), which defines fair value, establishes a framework for measuring fair value, and expands disclosures about fair value measurements.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 quoted prices for similar assets and liabilities in active markets or inputs that are observable;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inputs that are unobservable (for example, cash flow modeling inputs based on assumptions).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carrying amounts of accounts receivable, accounts payable, accrued expenses and amounts due to related parties approximate fair value due to the short-term nature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Company’s chief operating decision maker is the Chief Executive Officer (“CEO”) of the Company, who reviews operating results to make decisions about allocating resources and assessing performance for the entire Company. The Company classified its reportable operating segments into (i) the development and publishing of interactive racing video games, entertainment content and services (the “Gaming segment”) and (ii) the organization and facilitation of esports tournaments, competitions and events for the Company’s licensed racing games as well as on behalf of third-party video game racing series and other video game publishers (the “esports segment”).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January 1, 2018, the Company adopted ASC Topic 606, “Revenue from Contracts with Customers” (“ASC 606”). The core principle of ASC 606 requires that an entity recognize revenue to depict the transfer of promised goods or services to customers in an amount that reflects the consideration to which the company expects to be entitled in exchange for those goods or services. ASC 606 defines a five-step process to achieve this core principle and, in doing so, it is possible more judgment and estimates may be required within the revenue recognition process than required under prior U.S. GAAP, including identifying performance obligations in the contract, estimating the amount of variable consideration to include in the transaction price, allocating the transaction price to each separate performance obligation and recognizing revenue as performance obligations are satisfied.</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adopted ASC 606 for all applicable contracts using the modified retrospective method, which would have required a cumulative-effect adjustment, if any, as of the date of adoption. The adoption of ASC 606 had a material impact on the Company’s consolidated financial statements as of the date of adoption. A required adjustment recognized in retained earnings was due to prior software revenue recognition accounting standards. Because the Company did not have vendor-specific objective evidence of fair value (“VSOE”) for unspecified future updates or online hosting, the Company was not able to account for performance obligations separately, and therefore, the entire sales price of most transactions that had multiple performance obligations was recognized ratably over the period the Company expected to provide the future updates and/or online hosting performance obligations (the “Estimated Offering Period”). Under ASC 606, this VSOE requirement was eliminated and was replaced with a requirement to determine the Company’s best estimate of the stand-alone selling price of each performance obligation and allocate the transaction price to each distinct performance obligation on a relative stand-alone selling price basis.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currently derives revenue principally from sales of its games and related extra content that can be played by customers on a variety of platforms, which includes game consoles, PCs, mobile phones and tablets. The Company’s product and service offerings include, but are not limited to, the following:</w:t>
      </w:r>
    </w:p>
    <w:p>
      <w:pPr>
        <w:spacing w:after="0" w:line="184" w:lineRule="exact"/>
        <w:rPr>
          <w:sz w:val="20"/>
          <w:szCs w:val="20"/>
          <w:color w:val="auto"/>
        </w:rPr>
      </w:pPr>
    </w:p>
    <w:p>
      <w:pPr>
        <w:jc w:val="both"/>
        <w:ind w:left="980" w:hanging="324"/>
        <w:spacing w:after="0" w:line="342"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Full console and mobile games with both online and offline functionality (“Games with Services”), which generally includes (1) the initial game delivered digitally or via physical disc at the time of sale and typically provide access to offline core game content (“software license”);</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Updates on a when-and-if-available basis, such as software patches or updates, and/or additional content to be delivered in the future, paid and free (“future update rights”);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Online hosting for esports competition.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Games with Services. </w:t>
      </w:r>
      <w:r>
        <w:rPr>
          <w:rFonts w:ascii="Arial" w:cs="Arial" w:eastAsia="Arial" w:hAnsi="Arial"/>
          <w:sz w:val="18"/>
          <w:szCs w:val="18"/>
          <w:color w:val="auto"/>
        </w:rPr>
        <w:t>The Company’s sales of Games with Services are evaluated to determine whether the software license, future update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online hosting are distinct and separable. Sales of Games with Services are generally determined to have a singular distinct performance obligation. The Company’s obligation to provide future update rights and online hosting were determined to be immaterial. As a result, the Company recognizes revenue equal to the full transaction price at the point in time the customer obtains control of the software license and the Company satisfies its performance obligation.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Extra Content. </w:t>
      </w:r>
      <w:r>
        <w:rPr>
          <w:rFonts w:ascii="Arial" w:cs="Arial" w:eastAsia="Arial" w:hAnsi="Arial"/>
          <w:sz w:val="18"/>
          <w:szCs w:val="18"/>
          <w:color w:val="auto"/>
        </w:rPr>
        <w:t>Revenue received from sales of downloadable content are derived primarily from the sale of virtual currencies and digital in-game</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to our customers to enhance their gameplay experience. Sales of extra content are accounted for in a manner consistent with the treatment for our Games with Services, which is recognized at the point in time the Company satisfies its performance obligation, which is generally at the time the customer obtains control of the extra content.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Esports. </w:t>
      </w:r>
      <w:r>
        <w:rPr>
          <w:rFonts w:ascii="Arial" w:cs="Arial" w:eastAsia="Arial" w:hAnsi="Arial"/>
          <w:sz w:val="18"/>
          <w:szCs w:val="18"/>
          <w:color w:val="auto"/>
        </w:rPr>
        <w:t>The Company recognizes revenue associated with esports competition events at the point in time the Company satisfies its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under the contract, which is generally at the time the event is held.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timing of the Company’s revenue recognition may differ from the timing of payment by its customers. A receivable is recorded when revenue is recognized prior to payment and the Company has an unconditional right to payment. Alternatively, when payment precedes the provision of the related services, the Company records deferred revenue until the performance obligations are satisfied.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Successor Periods ended December 31, 2019 and 2018 or during the Predecessor Period ended August 14, 2018, there was no revenue recognized from performance obligations satisfied (or partially satisfied) in previous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revenue recognized under ASC 606 in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Pr>
          <w:p>
            <w:pPr>
              <w:spacing w:after="0"/>
              <w:rPr>
                <w:sz w:val="20"/>
                <w:szCs w:val="20"/>
                <w:color w:val="auto"/>
              </w:rPr>
            </w:pPr>
          </w:p>
        </w:tc>
        <w:tc>
          <w:tcPr>
            <w:tcW w:w="19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r>
      <w:tr>
        <w:trPr>
          <w:trHeight w:val="198"/>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For the Period From</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For the Period From</w:t>
            </w:r>
          </w:p>
        </w:tc>
        <w:tc>
          <w:tcPr>
            <w:tcW w:w="100" w:type="dxa"/>
            <w:vAlign w:val="bottom"/>
            <w:gridSpan w:val="2"/>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For the Year Ended</w:t>
            </w:r>
          </w:p>
        </w:tc>
        <w:tc>
          <w:tcPr>
            <w:tcW w:w="120" w:type="dxa"/>
            <w:vAlign w:val="bottom"/>
          </w:tcPr>
          <w:p>
            <w:pPr>
              <w:spacing w:after="0"/>
              <w:rPr>
                <w:sz w:val="18"/>
                <w:szCs w:val="18"/>
                <w:color w:val="auto"/>
              </w:rPr>
            </w:pPr>
          </w:p>
        </w:tc>
        <w:tc>
          <w:tcPr>
            <w:tcW w:w="19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August 15, 2018 to</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January 1, 2018 to</w:t>
            </w:r>
          </w:p>
        </w:tc>
      </w:tr>
      <w:tr>
        <w:trPr>
          <w:trHeight w:val="241"/>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December 31, 2019</w:t>
            </w:r>
          </w:p>
        </w:tc>
        <w:tc>
          <w:tcPr>
            <w:tcW w:w="120" w:type="dxa"/>
            <w:vAlign w:val="bottom"/>
          </w:tcPr>
          <w:p>
            <w:pPr>
              <w:spacing w:after="0"/>
              <w:rPr>
                <w:sz w:val="20"/>
                <w:szCs w:val="20"/>
                <w:color w:val="auto"/>
              </w:rPr>
            </w:pPr>
          </w:p>
        </w:tc>
        <w:tc>
          <w:tcPr>
            <w:tcW w:w="19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August 14, 2018</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Gaming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11,775,787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10,768,629</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3,988,148</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14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1"/>
                <w:szCs w:val="21"/>
                <w:color w:val="auto"/>
              </w:rPr>
            </w:pPr>
          </w:p>
        </w:tc>
        <w:tc>
          <w:tcPr>
            <w:tcW w:w="1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11,850,787</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10,768,629</w:t>
            </w: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3,988,148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Identifying Performance Obligations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Performance obligations promised in a contract are identified based on the goods and services that will be transferred to the customer that are both capable of being distinct, (i.e., the customer can benefit from the goods or services either on its own or together with other resources that are readily available), and are distinct in the context of the contract (i.e., it is separately identifiable from other goods or services in the contract). To the extent a contract includes multiple promises, the Company must apply judgment to determine whether those promises are separate and distinct performance obligations. If these criteria are not met, the promises are accounted for as a combined performance obligation.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the Transaction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transaction price is determined based on the consideration that the Company will be entitled to receive in exchange for transferring our goods and services to the customer. Determining the transaction price often requires significant judgment based on an assessment of contractual terms and business practices. It further includes review of variable consideration such as discounts, sales returns, price protection, and rebates, which is estimated at the time of the transaction. See below for additional information regarding our sales returns and price protection reserves.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Allocating the Transaction Price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Allocating the transaction price requires that the Company determine an estimate of the relative stand-alone selling price for each distinct performance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Versus Agent Considerations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evaluates sales to end customers of our full games and related content via third-party storefronts, including digital storefronts such as Microsoft’s Xbox Store, Sony’s PlayStation Store, Apple’s App Store, and Google’s Play Store, in order to determine whether or not the Company is acting as the principal or agent in the sale to the end customer. Key indicators that the Company evaluates in determining gross versus net treatment include but are not limited to the following:</w:t>
      </w:r>
    </w:p>
    <w:p>
      <w:pPr>
        <w:spacing w:after="0" w:line="187"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underlying contract terms and conditions between the various parties to the transaction;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to the end customer;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which party has inventory risk before the specified good or service has been transferred to the end customer;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Based on an evaluation of the above indicators, the Company determined that, apart from contracts with customers where revenue is generated via the Apple App Store or Google Play Store, the third party is considered the principal and, as a result, the Company reports revenue net of the fees retained by the storefront. For contracts with customers where revenue is generated via the Apple App Store or Google Play Store, the Company has determined that it is the principal and, as a result, reports revenue on a gross basis, with mobile platform fees included within cost of revenues.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Allowance, Sales Returns and Price Protection Reserves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Sales returns and price protection are considered variable consideration under ASC 606. The Company reduces revenue for estimated future returns and price protection which may occur with distributors and retailers (“channel partners”). See Note 2 – Summary of Significant Accounting Policies</w:t>
      </w:r>
    </w:p>
    <w:p>
      <w:pPr>
        <w:jc w:val="both"/>
        <w:spacing w:after="0" w:line="251" w:lineRule="auto"/>
        <w:rPr>
          <w:sz w:val="20"/>
          <w:szCs w:val="20"/>
          <w:color w:val="auto"/>
        </w:rPr>
      </w:pPr>
      <w:r>
        <w:rPr>
          <w:rFonts w:ascii="Arial" w:cs="Arial" w:eastAsia="Arial" w:hAnsi="Arial"/>
          <w:sz w:val="18"/>
          <w:szCs w:val="18"/>
          <w:color w:val="auto"/>
        </w:rPr>
        <w:t>– Accounts Receivable for additional details. Price protection represents our practice to provide channel partners with a credit allowance to lower their wholesale price on a particular game unit that they have not resold to customers. The amount of the price protection for permanent markdowns is the difference between the original wholesale price and the new reduced wholesale price. Credits are also given for short-term promotions that temporarily reduce the wholesale price. When evaluating the adequacy of sales returns and price protection reserves, the Company analyzes the following: historical credit allowances, current sell-through of channel partners’ inventory of the Company’s products, current trends in retail and the video game industry, changes in customer demand, acceptance of products, and other related factors. In addition, the Company monitors the volume of sales to our channel partners and their inventories, as substantial overstocking in the distribution channel could result in high returns or higher price protection in subsequent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transactions and events. Under this method, deferred tax assets and liabilities are determined based on the difference between financial statement book values and the tax bases of assets and liabilities using enacted tax rates in effect for the years in which the differences are expected to reverse. If necessary, deferred tax assets are reduced by a valuation allowance to an amount that is determined to be more likely than not recoverable in the foreseeable future. The Company must make significant estimates and assumptions about future taxable income and future tax consequences and tax strategies available to recognize deferred tax assets when determining the amount of the valuation allowance. The additional guidance provided by ASC No. 740, Income Taxes (ASC 740), clarifies the accounting for uncertainty in income taxes recognized in the financial statements. Expected outcomes of current or anticipated tax examinations, refund claims and tax-related litigation and estimates regarding additional tax liability (including interest and penalties thereon) or refunds resulting therefrom will be recorded based on the guidance provided by ASC 740 to the extent applicable. The Company is considered to be disregarded from its owner for U.S. tax purposes. In addition, for its 2019 fiscal year, the Company is the parent company to another disregarded entity, MS Gaming Development LLC, and a regarded entity taxed as a separate corporation, 704Games. 704Games was acquired on August 14, 2018 and the Company has no other material tax effective items other than those items attributed to it from 704Games.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Under ASC 740, the effects of new legislation are recognized upon enactment. Accordingly, the CARES Act is effective beginning in the quarter ended March 31, 2020. The Company does not currently believe that such provisions will have a material impact on the Company’s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measures the cost of services received in exchange for an award of equity instruments based on the fair value of the award. The fair value of the award is measured on the grant date. The fair value amount is then recognized over the period during which services are required to be provided in exchange for the award, usually the vesting period. Upon the exercise of an award, the Company issues new shares of common stock out of its authorized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recognizes advertising expenses as incurred. Advertising expenses were $3,487,498 and $2,189,645 for the Successor Periods ended December 31, 2019 and 2018, respectively, and $734,561 for the Predecessor Period ended August 14,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functional and reporting currency is the United States Dollar. The functional currency of the Company’s operating subsidiaries are their local currencies (the United States Dollar, the Russian Ruble and Pound Sterling). Assets and liabilities are translated based on the exchange rates at the balance sheet date, while revenue and expense accounts are translated at the average exchange rate in effect during the year. Equity accounts are translated at historical exchange rates. The resulting translation gain and loss adjustments are accumulated as a component of other comprehensive income. Foreign currency gains and losses resulting from transactions denominated in foreign currencies, including intercompany transactions, are included in the results of operations.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recorded approximately $8,000 of transaction losses for the Successor Period ended December 31, 2019. The Company did not have any transaction losses for the Successor Period ended December 31, 2018 and the Predecessor Period ended August 14, 2018. Such amounts have been classified within general and administrative expenses in the accompanying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evaluated events that have occurred after the balance sheet date but before the financial statements are issued. Based upon that evaluation, the Company did not identify any recognized or non-recognized subsequent events that would have required adjustment or disclosure in the financial statements, except as disclosed in Note 14,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which applies a right-of-use model that requires a lessee to record, for all leases with a lease term of more than 12 months, an asset representing its right to use the underlying asset and a liability to make lease payments. The ASU requires a lessor to classify leases as either sales-type, direct financing or operating, similar to existing U.S. GAAP requirements. Classification depends on the same five criteria used by lessees under U.S. GAAP plus certain additional factors. The new leases standard addresses other considerations including identification of a lease, separating lease and non-lease components of a contract, sale and leaseback transactions, modifications, combining contracts, reassessment of the lease term, and remeasurement of lease payments. Early adoption is permitted. This update is effective for fiscal years beginning after December 15, 2021, and interim periods within fiscal years beginning after December 15, 2022. The Company is currently evaluating ASC 842 and its impact on its consolidated financial statements and disclosures.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FASB issued ASU 2017-04, “Intangibles - Goodwill and Other: Simplifying the Test for Goodwill Impairment” (“ASU 2017-04”), which amends the guidance to eliminate Step 2 from the goodwill impairment test. Instead, under the amendments in the new guidance, an entity should perform its annual, or interim, goodwill impairment test by comparing the fair value of a reporting unit with its carrying amount. The entity should recognize an impairment charge for the amount by which the carrying amount exceeds the reporting unit’s fair value. The amendments will be effective for annual or any interim goodwill impairment tests in fiscal years beginning after December 15, 2020. The Company early adopted ASU 2017-04 effective January 1, 2019 and, as a result, was able to eliminated Step 2 from its goodwill impairment test that it conducted during the year ended December 31, 2019. See Note 2 – Summary of Significant Accounting Policies – Goodwill and Intangible Assets.</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November 2019, the FASB issued ASU 2019-11, “Codification Improvements to Topic 326, Financial Instruments – Credit Losses” (“ASU 2019-11”). ASU 2019-11 is an accounting pronouncement that amends ASU 2016-13, “Financial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The amendments in ASU 2019-11 are effective for annual reporting periods beginning after December 15, 2022, including interim periods within those fiscal years. All entities may adopt the amendments through a cumulative-effect adjustment to retained earnings as of the beginning of the first reporting period in which the guidance is effective (that is, a modified-retrospective approach). The Company is currently evaluating ASU 2019-11 and its impact on its consolidated financial statements and disclosures.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(“ASU 2019-12”). The amendments in ASU 2019-12 simplify the accounting for income taxes by removing certain exceptions to the general principles in Topic 740. The amendments also improve consistent application of and simplify U.S. GAAP for other areas of Topic 740 by clarifying and amending existing guidance. This update is effective for fiscal years beginning after December 15, 2021, and interim periods within fiscal years beginning after December 15, 2022. Early adoption of the amendments is permitted, including adoption in any interim period for periods for which financial statements have not yet been made available for issuance.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evaluating ASU 2019-12 and its impact on its consolidated financial statements and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August 14, 2018, Motorsport Games entered into a stock purchase agreement with 704Games for the purchase of 217,352 shares of common stock of 704Games, representing a 53.5% equity interest in 704Games (the “Acquisition”), for the purpose of acquiring the exclusive gaming license agreement with NASCAR to be its official video game developer and publisher. In addition, the Company acquired the right to create and organize esports leagues and events for NASCAR. As a result of the Acquisition, the 704Games’ former consolidating parent, HC2 Holdings, Inc.’s (“HC2”), ownership percentage was diluted to 26.2% and HC2 ceased to have majority control of 704Games, resulting in a change in ownership under FASB ASC 805, Business Combinations. Accordingly, the assets acquired and the liabilities assumed were recorded at their estimated fair value based on the third-party valuations. Goodwill from the Acquisition principally relates to intangible assets that do not qualify for separate recognition, including assembled workforce, market presence, and synergies. Goodwill is not tax deductible. Acquired accounts receivable were comprised of outstanding invoices 704Games issued to its customers for the provided services, which were recorded at their estimated fair value.</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exchange for the acquired controlling interest in 704Games, Motorsport Games agreed to pay $4,000,000 cash at closing of the transaction to 704Games, and subject to certain adjustments, to pay $3,000,000 cash to 704Games on February 1, 2019 (the “2019 Payment”) and to provide advertising, promotional and other services to 704Games valued at $4,000,000 during the 48 months following the transaction (the “In-Kind Consideration” and, together with the 2019 Payment, the “Delayed Consideration”). During the Successor Periods ended December 31, 2019 and 2018, In-Kind Consideration totaling $641,938 and $472,669, respectively, was provided to 704Games. See Note 9 – Related Party Transactions for additional details.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Delayed Consideration amount was subject to and conditioned upon 704Games achieving a minimum $15,574,000 in revenue (the “Expected Revenue”) for the 2018 calendar year. As the Expected Revenue was less than $15,574,000, the 2019 Payment amount automatically was adjusted to $1,660,000, which also reduced the Delayed Consideration amount dollar-for-dollar for the actual dollar difference between the Expected Revenue and the actual revenue of 704Games for the 2018 calendar year as reflected in the audited financial statements of 704Games for the year ended December 31, 2018.</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the terms of the Acquisition required the Company to obtain a long-form amendment to that certain Distribution and License Agreement, dated as of January 1, 2015, by and between the Company and NASCAR Team Properties on or before February 1, 2019. Such long-form amendment was obtained in the required timeframe.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estimated the fair value of the Delayed Consideration using the Monte Carlo simulation using the Geometrics Brownian Motion (“GBM”), where generated random variables using the GBM were applied to the forecasted revenue metrics. The following key assumptions were utilized by the Company: (i) revenue projections, (ii) risk-free rate, which was estimated based on the rate of treasury securities with the same term as the mid-period of the projection periods, and (iii) revenue volatility, which was estimated based on an analysis of historical asset volatilities for similar companies and adjusted for operating leverage to estimate revenue volatility.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purchase price allocation was completed subsequent to the acquisition date. The aggregate purchase price was allocated to the assets acquired and liabilities assumed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Consideration:</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Cash</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r>
      <w:tr>
        <w:trPr>
          <w:trHeight w:val="237"/>
        </w:trPr>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Delayed consideration at fair value</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4,999,150</w:t>
            </w:r>
          </w:p>
        </w:tc>
      </w:tr>
      <w:tr>
        <w:trPr>
          <w:trHeight w:val="216"/>
        </w:trPr>
        <w:tc>
          <w:tcPr>
            <w:tcW w:w="94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8,999,150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9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Debt-free net working capital</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5,895,248</w:t>
            </w:r>
          </w:p>
        </w:tc>
      </w:tr>
      <w:tr>
        <w:trPr>
          <w:trHeight w:val="216"/>
        </w:trPr>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89,671</w:t>
            </w: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3,789,770</w:t>
            </w:r>
          </w:p>
        </w:tc>
      </w:tr>
      <w:tr>
        <w:trPr>
          <w:trHeight w:val="216"/>
        </w:trPr>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Licensing agreements</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3,620,000</w:t>
            </w: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Software</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2,340,000</w:t>
            </w:r>
          </w:p>
        </w:tc>
      </w:tr>
      <w:tr>
        <w:trPr>
          <w:trHeight w:val="237"/>
        </w:trPr>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contracts</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560,000</w:t>
            </w:r>
          </w:p>
        </w:tc>
      </w:tr>
      <w:tr>
        <w:trPr>
          <w:trHeight w:val="216"/>
        </w:trPr>
        <w:tc>
          <w:tcPr>
            <w:tcW w:w="94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Identified Net Assets</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16,294,689</w:t>
            </w:r>
          </w:p>
        </w:tc>
      </w:tr>
      <w:tr>
        <w:trPr>
          <w:trHeight w:val="237"/>
        </w:trPr>
        <w:tc>
          <w:tcPr>
            <w:tcW w:w="9460" w:type="dxa"/>
            <w:vAlign w:val="bottom"/>
          </w:tcPr>
          <w:p>
            <w:pPr>
              <w:spacing w:after="0"/>
              <w:rPr>
                <w:sz w:val="20"/>
                <w:szCs w:val="20"/>
                <w:color w:val="auto"/>
              </w:rPr>
            </w:pPr>
            <w:r>
              <w:rPr>
                <w:rFonts w:ascii="Arial" w:cs="Arial" w:eastAsia="Arial" w:hAnsi="Arial"/>
                <w:sz w:val="18"/>
                <w:szCs w:val="18"/>
                <w:color w:val="auto"/>
              </w:rPr>
              <w:t>Less: Fair Value Attributable to Noncontrolling Interest</w:t>
            </w:r>
          </w:p>
        </w:tc>
        <w:tc>
          <w:tcPr>
            <w:tcW w:w="4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(8,008,271)</w:t>
            </w:r>
          </w:p>
        </w:tc>
      </w:tr>
      <w:tr>
        <w:trPr>
          <w:trHeight w:val="216"/>
        </w:trPr>
        <w:tc>
          <w:tcPr>
            <w:tcW w:w="9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9460" w:type="dxa"/>
            <w:vAlign w:val="bottom"/>
          </w:tcPr>
          <w:p>
            <w:pPr>
              <w:spacing w:after="0"/>
              <w:rPr>
                <w:sz w:val="20"/>
                <w:szCs w:val="20"/>
                <w:color w:val="auto"/>
              </w:rPr>
            </w:pPr>
            <w:r>
              <w:rPr>
                <w:rFonts w:ascii="Arial" w:cs="Arial" w:eastAsia="Arial" w:hAnsi="Arial"/>
                <w:sz w:val="18"/>
                <w:szCs w:val="18"/>
                <w:b w:val="1"/>
                <w:bCs w:val="1"/>
                <w:color w:val="auto"/>
              </w:rPr>
              <w:t>Fair Value of Identified Net Assets Attributable to Motorsport Gaming US LLC</w:t>
            </w:r>
          </w:p>
        </w:tc>
        <w:tc>
          <w:tcPr>
            <w:tcW w:w="4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8,286,418</w:t>
            </w:r>
          </w:p>
        </w:tc>
      </w:tr>
      <w:tr>
        <w:trPr>
          <w:trHeight w:val="216"/>
        </w:trPr>
        <w:tc>
          <w:tcPr>
            <w:tcW w:w="9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rPr>
          <w:sz w:val="20"/>
          <w:szCs w:val="20"/>
          <w:color w:val="auto"/>
        </w:rPr>
      </w:pPr>
      <w:r>
        <w:rPr>
          <w:rFonts w:ascii="Arial" w:cs="Arial" w:eastAsia="Arial" w:hAnsi="Arial"/>
          <w:sz w:val="18"/>
          <w:szCs w:val="18"/>
          <w:b w:val="1"/>
          <w:bCs w:val="1"/>
          <w:color w:val="auto"/>
        </w:rPr>
        <w:t>Remaining Unidentified Goodwill Value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debt free net working capital are as follows: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Due from affiliate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700395"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Due to affiliate</w:t>
      </w:r>
    </w:p>
    <w:p>
      <w:pPr>
        <w:spacing w:after="0" w:line="20" w:lineRule="exact"/>
        <w:rPr>
          <w:sz w:val="20"/>
          <w:szCs w:val="20"/>
          <w:color w:val="auto"/>
        </w:rPr>
      </w:pPr>
      <w:r>
        <w:rPr>
          <w:sz w:val="20"/>
          <w:szCs w:val="20"/>
          <w:color w:val="auto"/>
        </w:rPr>
        <w:br w:type="column"/>
      </w:r>
    </w:p>
    <w:p>
      <w:pPr>
        <w:jc w:val="both"/>
        <w:ind w:left="1717"/>
        <w:spacing w:after="0"/>
        <w:tabs>
          <w:tab w:leader="none" w:pos="277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712,732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14605</wp:posOffset>
            </wp:positionV>
            <wp:extent cx="10629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31750</wp:posOffset>
            </wp:positionV>
            <wp:extent cx="10629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7" w:hanging="437"/>
        <w:spacing w:after="0"/>
        <w:tabs>
          <w:tab w:leader="none" w:pos="4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5,232,974</w:t>
      </w:r>
    </w:p>
    <w:p>
      <w:pPr>
        <w:spacing w:after="0" w:line="23" w:lineRule="exact"/>
        <w:rPr>
          <w:rFonts w:ascii="Arial" w:cs="Arial" w:eastAsia="Arial" w:hAnsi="Arial"/>
          <w:sz w:val="18"/>
          <w:szCs w:val="18"/>
          <w:color w:val="auto"/>
        </w:rPr>
      </w:pPr>
    </w:p>
    <w:p>
      <w:pPr>
        <w:ind w:left="437"/>
        <w:spacing w:after="0"/>
        <w:rPr>
          <w:rFonts w:ascii="Arial" w:cs="Arial" w:eastAsia="Arial" w:hAnsi="Arial"/>
          <w:sz w:val="18"/>
          <w:szCs w:val="18"/>
          <w:color w:val="auto"/>
        </w:rPr>
      </w:pPr>
      <w:r>
        <w:rPr>
          <w:rFonts w:ascii="Arial" w:cs="Arial" w:eastAsia="Arial" w:hAnsi="Arial"/>
          <w:sz w:val="18"/>
          <w:szCs w:val="18"/>
          <w:color w:val="auto"/>
        </w:rPr>
        <w:t>1,013,632</w:t>
      </w:r>
    </w:p>
    <w:p>
      <w:pPr>
        <w:spacing w:after="0" w:line="9" w:lineRule="exact"/>
        <w:rPr>
          <w:rFonts w:ascii="Arial" w:cs="Arial" w:eastAsia="Arial" w:hAnsi="Arial"/>
          <w:sz w:val="18"/>
          <w:szCs w:val="18"/>
          <w:color w:val="auto"/>
        </w:rPr>
      </w:pPr>
    </w:p>
    <w:p>
      <w:pPr>
        <w:ind w:left="437"/>
        <w:spacing w:after="0"/>
        <w:rPr>
          <w:rFonts w:ascii="Arial" w:cs="Arial" w:eastAsia="Arial" w:hAnsi="Arial"/>
          <w:sz w:val="18"/>
          <w:szCs w:val="18"/>
          <w:color w:val="auto"/>
        </w:rPr>
      </w:pPr>
      <w:r>
        <w:rPr>
          <w:rFonts w:ascii="Arial" w:cs="Arial" w:eastAsia="Arial" w:hAnsi="Arial"/>
          <w:sz w:val="18"/>
          <w:szCs w:val="18"/>
          <w:color w:val="auto"/>
        </w:rPr>
        <w:t>1,245,550</w:t>
      </w:r>
    </w:p>
    <w:p>
      <w:pPr>
        <w:spacing w:after="0" w:line="9" w:lineRule="exact"/>
        <w:rPr>
          <w:rFonts w:ascii="Arial" w:cs="Arial" w:eastAsia="Arial" w:hAnsi="Arial"/>
          <w:sz w:val="18"/>
          <w:szCs w:val="18"/>
          <w:color w:val="auto"/>
        </w:rPr>
      </w:pPr>
    </w:p>
    <w:p>
      <w:pPr>
        <w:ind w:left="457"/>
        <w:spacing w:after="0"/>
        <w:rPr>
          <w:rFonts w:ascii="Arial" w:cs="Arial" w:eastAsia="Arial" w:hAnsi="Arial"/>
          <w:sz w:val="18"/>
          <w:szCs w:val="18"/>
          <w:color w:val="auto"/>
        </w:rPr>
      </w:pPr>
      <w:r>
        <w:rPr>
          <w:rFonts w:ascii="Arial" w:cs="Arial" w:eastAsia="Arial" w:hAnsi="Arial"/>
          <w:sz w:val="18"/>
          <w:szCs w:val="18"/>
          <w:color w:val="auto"/>
        </w:rPr>
        <w:t>1,196,113</w:t>
      </w:r>
    </w:p>
    <w:p>
      <w:pPr>
        <w:spacing w:after="0" w:line="278" w:lineRule="exact"/>
        <w:rPr>
          <w:sz w:val="20"/>
          <w:szCs w:val="20"/>
          <w:color w:val="auto"/>
        </w:rPr>
      </w:pPr>
    </w:p>
    <w:p>
      <w:pPr>
        <w:ind w:left="437" w:hanging="437"/>
        <w:spacing w:after="0"/>
        <w:tabs>
          <w:tab w:leader="none" w:pos="4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8,688,269</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437"/>
        <w:spacing w:after="0"/>
        <w:rPr>
          <w:rFonts w:ascii="Arial" w:cs="Arial" w:eastAsia="Arial" w:hAnsi="Arial"/>
          <w:sz w:val="18"/>
          <w:szCs w:val="18"/>
          <w:color w:val="auto"/>
        </w:rPr>
      </w:pPr>
      <w:r>
        <w:rPr>
          <w:rFonts w:ascii="Arial" w:cs="Arial" w:eastAsia="Arial" w:hAnsi="Arial"/>
          <w:sz w:val="18"/>
          <w:szCs w:val="18"/>
          <w:color w:val="auto"/>
        </w:rPr>
        <w:t>1,924,044</w:t>
      </w:r>
    </w:p>
    <w:p>
      <w:pPr>
        <w:spacing w:after="0" w:line="23" w:lineRule="exact"/>
        <w:rPr>
          <w:rFonts w:ascii="Arial" w:cs="Arial" w:eastAsia="Arial" w:hAnsi="Arial"/>
          <w:sz w:val="18"/>
          <w:szCs w:val="18"/>
          <w:color w:val="auto"/>
        </w:rPr>
      </w:pPr>
    </w:p>
    <w:p>
      <w:pPr>
        <w:ind w:left="657"/>
        <w:spacing w:after="0"/>
        <w:rPr>
          <w:rFonts w:ascii="Arial" w:cs="Arial" w:eastAsia="Arial" w:hAnsi="Arial"/>
          <w:sz w:val="18"/>
          <w:szCs w:val="18"/>
          <w:color w:val="auto"/>
        </w:rPr>
      </w:pPr>
      <w:r>
        <w:rPr>
          <w:rFonts w:ascii="Arial" w:cs="Arial" w:eastAsia="Arial" w:hAnsi="Arial"/>
          <w:sz w:val="18"/>
          <w:szCs w:val="18"/>
          <w:color w:val="auto"/>
        </w:rPr>
        <w:t>33,880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-567690</wp:posOffset>
            </wp:positionV>
            <wp:extent cx="7372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7023" w:space="720"/>
            <w:col w:w="3497"/>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835,097</w:t>
            </w:r>
          </w:p>
        </w:tc>
      </w:tr>
      <w:tr>
        <w:trPr>
          <w:trHeight w:val="216"/>
        </w:trPr>
        <w:tc>
          <w:tcPr>
            <w:tcW w:w="50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3"/>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2,793,021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0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free net working capital</w:t>
            </w:r>
          </w:p>
        </w:tc>
        <w:tc>
          <w:tcPr>
            <w:tcW w:w="3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5,895,248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the date of the Acquisition and December 31, 2019, the Company expects to collect all contractual cash flows related to receivables acquired in the Acquisition. Acquisition related costs are expensed as incurred and are recorded within general and administrative expenses on the consolidated statements of operations. Acquisition related costs were approximately $0 and $10,000 for the Successor Periods ended December 31, 2019 and 2018, respectively. Acquisition related costs were approximately $117,000 for the Predecessor Period ended August 14,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utilized the excess earnings method to estimate the fair value of the licensing agreements. The following key assumptions were utilized by the Company: (i) the discount rate, which was based on the Company’s discount rate plus a 200-basis point premium and (ii) the amortization benefit, which was calculated based on a sixteen year straight line tax amortization.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utilized the relief from royalty method to estimate the fair value of the developed software. The following key assumptions were utilized by the Company: (i) projected revenue from the services attributable to the asset (ii) an arm’s length royalty rate that would otherwise be charged by the licensor of the asset to a licensee of the asset, which was estimated to be approximately 5% and (iii) a discount rate that reflects the risk associated with the asset, which was estimated to be approximately 42%. The developed software has an estimated useful life of ten years.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utilized the with and without method to determine the fair value of the distribution contracts. The with and without method is based on the use of two scenarios. The first scenario incorporates the distribution contracts in the projection of cash flows. The second scenario assumes that the Company does not have the distribution contracts in place. The difference in the fair value between the two scenarios indicates the fair value of the distribution contracts. The distribution contracts have an estimated useful life of one year.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utilized the business enterprise income valuation approach to determine the fair value attributable to the non-controlling interests, which included a discount rate of 40%.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revenues of 704Games since the date of acquisition through December 31, 2018 were $10,768,629. Total net income of 704Games since the date of acquisition through December 31, 2018 was $1,843,303.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 balances as of December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80" w:type="dxa"/>
            <w:vAlign w:val="bottom"/>
            <w:tcBorders>
              <w:bottom w:val="single" w:sz="8" w:color="CCEEFF"/>
            </w:tcBorders>
          </w:tcPr>
          <w:p>
            <w:pPr>
              <w:spacing w:after="0"/>
              <w:rPr>
                <w:sz w:val="20"/>
                <w:szCs w:val="20"/>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Computer software and equipment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109,992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42,186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8,132</w:t>
            </w: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86,061</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63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(49,487)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(15,326)</w:t>
            </w:r>
          </w:p>
        </w:tc>
      </w:tr>
      <w:tr>
        <w:trPr>
          <w:trHeight w:val="230"/>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Depreciation expense was $51,622 and $25,484 for the Successor Periods ended December 31, 2019 and 2018, respectively. Depreciation expense was $53,411 for the Predecessor Period ended August 14,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NOTE 5 - INTANGIBLE ASSETS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tcPr>
          <w:p>
            <w:pPr>
              <w:ind w:left="660"/>
              <w:spacing w:after="0"/>
              <w:rPr>
                <w:sz w:val="20"/>
                <w:szCs w:val="20"/>
                <w:color w:val="auto"/>
              </w:rPr>
            </w:pPr>
            <w:r>
              <w:rPr>
                <w:rFonts w:ascii="Arial" w:cs="Arial" w:eastAsia="Arial" w:hAnsi="Arial"/>
                <w:sz w:val="18"/>
                <w:szCs w:val="18"/>
                <w:color w:val="auto"/>
                <w:w w:val="99"/>
              </w:rPr>
              <w:t>Intangible assets consist of the following: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Licensing</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Distribution</w:t>
            </w:r>
          </w:p>
        </w:tc>
        <w:tc>
          <w:tcPr>
            <w:tcW w:w="1420" w:type="dxa"/>
            <w:vAlign w:val="bottom"/>
            <w:gridSpan w:val="3"/>
          </w:tcPr>
          <w:p>
            <w:pPr>
              <w:jc w:val="right"/>
              <w:ind w:right="2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Agreements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Software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Contracts</w:t>
            </w:r>
          </w:p>
        </w:tc>
        <w:tc>
          <w:tcPr>
            <w:tcW w:w="1420" w:type="dxa"/>
            <w:vAlign w:val="bottom"/>
            <w:gridSpan w:val="3"/>
          </w:tcPr>
          <w:p>
            <w:pPr>
              <w:jc w:val="right"/>
              <w:ind w:right="281"/>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August 15, 2018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3,620,000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36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(382,594)</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(382,594)</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3,620,000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(382,594)</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6,137,406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36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(810,250)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(810,250)</w:t>
            </w:r>
          </w:p>
        </w:tc>
        <w:tc>
          <w:tcPr>
            <w:tcW w:w="0" w:type="dxa"/>
            <w:vAlign w:val="bottom"/>
          </w:tcPr>
          <w:p>
            <w:pPr>
              <w:spacing w:after="0"/>
              <w:rPr>
                <w:sz w:val="1"/>
                <w:szCs w:val="1"/>
                <w:color w:val="auto"/>
              </w:rPr>
            </w:pPr>
          </w:p>
        </w:tc>
      </w:tr>
      <w:tr>
        <w:trPr>
          <w:trHeight w:val="23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(1,192,844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195" w:lineRule="exact"/>
              <w:rPr>
                <w:sz w:val="20"/>
                <w:szCs w:val="20"/>
                <w:color w:val="auto"/>
              </w:rPr>
            </w:pPr>
            <w:r>
              <w:rPr>
                <w:rFonts w:ascii="Arial" w:cs="Arial" w:eastAsia="Arial" w:hAnsi="Arial"/>
                <w:sz w:val="18"/>
                <w:szCs w:val="18"/>
                <w:color w:val="auto"/>
                <w:w w:val="96"/>
              </w:rPr>
              <w:t>Weighted average remaining amortization period at</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December 31, 2019 (in years)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F-18</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intangible assets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Licensing</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Distribution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3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Agreements</w:t>
            </w:r>
          </w:p>
        </w:tc>
        <w:tc>
          <w:tcPr>
            <w:tcW w:w="260" w:type="dxa"/>
            <w:vAlign w:val="bottom"/>
          </w:tcPr>
          <w:p>
            <w:pPr>
              <w:spacing w:after="0"/>
              <w:rPr>
                <w:sz w:val="20"/>
                <w:szCs w:val="20"/>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Software</w:t>
            </w:r>
          </w:p>
        </w:tc>
        <w:tc>
          <w:tcPr>
            <w:tcW w:w="18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August 15, 2018</w:t>
            </w: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Amortization expense</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84,844</w:t>
            </w:r>
          </w:p>
        </w:tc>
        <w:tc>
          <w:tcPr>
            <w:tcW w:w="2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87,750</w:t>
            </w:r>
          </w:p>
        </w:tc>
        <w:tc>
          <w:tcPr>
            <w:tcW w:w="1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210,000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382,594</w:t>
            </w:r>
          </w:p>
        </w:tc>
      </w:tr>
      <w:tr>
        <w:trPr>
          <w:trHeight w:val="216"/>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Amortization expense</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226,250</w:t>
            </w:r>
          </w:p>
        </w:tc>
        <w:tc>
          <w:tcPr>
            <w:tcW w:w="2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234,000</w:t>
            </w:r>
          </w:p>
        </w:tc>
        <w:tc>
          <w:tcPr>
            <w:tcW w:w="1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350,000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810,250</w:t>
            </w:r>
          </w:p>
        </w:tc>
      </w:tr>
      <w:tr>
        <w:trPr>
          <w:trHeight w:val="230"/>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311,094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1,192,844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aggregate amortization expense of intangible assets for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Licensing</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0"/>
                <w:szCs w:val="20"/>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Agreements</w:t>
            </w:r>
          </w:p>
        </w:tc>
        <w:tc>
          <w:tcPr>
            <w:tcW w:w="14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Software</w:t>
            </w:r>
          </w:p>
        </w:tc>
        <w:tc>
          <w:tcPr>
            <w:tcW w:w="18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226,250</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234,000</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460,250</w:t>
            </w:r>
          </w:p>
        </w:tc>
      </w:tr>
      <w:tr>
        <w:trPr>
          <w:trHeight w:val="216"/>
        </w:trPr>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226,250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460,250</w:t>
            </w:r>
          </w:p>
        </w:tc>
      </w:tr>
      <w:tr>
        <w:trPr>
          <w:trHeight w:val="216"/>
        </w:trPr>
        <w:tc>
          <w:tcPr>
            <w:tcW w:w="41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226,250</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234,000</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460,250</w:t>
            </w:r>
          </w:p>
        </w:tc>
      </w:tr>
      <w:tr>
        <w:trPr>
          <w:trHeight w:val="216"/>
        </w:trPr>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226,250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460,250</w:t>
            </w:r>
          </w:p>
        </w:tc>
      </w:tr>
      <w:tr>
        <w:trPr>
          <w:trHeight w:val="237"/>
        </w:trPr>
        <w:tc>
          <w:tcPr>
            <w:tcW w:w="410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2,177,656</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848,250</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3,025,906</w:t>
            </w:r>
          </w:p>
        </w:tc>
      </w:tr>
      <w:tr>
        <w:trPr>
          <w:trHeight w:val="230"/>
        </w:trPr>
        <w:tc>
          <w:tcPr>
            <w:tcW w:w="4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3,308,906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2,018,250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5,327,156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are as follow: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August 15, 2018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712,732</w:t>
            </w:r>
          </w:p>
        </w:tc>
      </w:tr>
      <w:tr>
        <w:trPr>
          <w:trHeight w:val="237"/>
        </w:trPr>
        <w:tc>
          <w:tcPr>
            <w:tcW w:w="4680" w:type="dxa"/>
            <w:vAlign w:val="bottom"/>
          </w:tcPr>
          <w:p>
            <w:pPr>
              <w:ind w:left="180"/>
              <w:spacing w:after="0"/>
              <w:rPr>
                <w:sz w:val="20"/>
                <w:szCs w:val="20"/>
                <w:color w:val="auto"/>
              </w:rPr>
            </w:pPr>
            <w:r>
              <w:rPr>
                <w:rFonts w:ascii="Arial" w:cs="Arial" w:eastAsia="Arial" w:hAnsi="Arial"/>
                <w:sz w:val="18"/>
                <w:szCs w:val="18"/>
                <w:color w:val="auto"/>
              </w:rPr>
              <w:t>Loss on impairment of goodwill</w:t>
            </w: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712,732</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680" w:type="dxa"/>
            <w:vAlign w:val="bottom"/>
          </w:tcPr>
          <w:p>
            <w:pPr>
              <w:ind w:left="180"/>
              <w:spacing w:after="0"/>
              <w:rPr>
                <w:sz w:val="20"/>
                <w:szCs w:val="20"/>
                <w:color w:val="auto"/>
              </w:rPr>
            </w:pPr>
            <w:r>
              <w:rPr>
                <w:rFonts w:ascii="Arial" w:cs="Arial" w:eastAsia="Arial" w:hAnsi="Arial"/>
                <w:sz w:val="18"/>
                <w:szCs w:val="18"/>
                <w:color w:val="auto"/>
              </w:rPr>
              <w:t>Loss on impairment of goodwill</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(575,015)</w:t>
            </w:r>
          </w:p>
        </w:tc>
      </w:tr>
      <w:tr>
        <w:trPr>
          <w:trHeight w:val="23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Successor Period ended December 31, 2019, due to a projected decrease in revenue and after considering all quantitative and qualitative factors, the Company determined that it was more likely than not that the reporting unit’s (704Games) carrying value exceeded its fair value and, as a result, the Company completed quantitative impairment test and recorded a loss on impairment of goodwill of $575,015. See Note 2 – Summary of Significant Accounting Policies – Goodwill and Intangible Assets for additional details.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NOTE 7 – ACCRUED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320" w:type="dxa"/>
            <w:vAlign w:val="bottom"/>
          </w:tcPr>
          <w:p>
            <w:pPr>
              <w:ind w:left="660"/>
              <w:spacing w:after="0"/>
              <w:rPr>
                <w:sz w:val="20"/>
                <w:szCs w:val="20"/>
                <w:color w:val="auto"/>
              </w:rPr>
            </w:pPr>
            <w:r>
              <w:rPr>
                <w:rFonts w:ascii="Arial" w:cs="Arial" w:eastAsia="Arial" w:hAnsi="Arial"/>
                <w:sz w:val="18"/>
                <w:szCs w:val="18"/>
                <w:color w:val="auto"/>
              </w:rPr>
              <w:t>Accrued expenses consisted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80" w:type="dxa"/>
            <w:vAlign w:val="bottom"/>
            <w:tcBorders>
              <w:bottom w:val="single" w:sz="8" w:color="CCEEFF"/>
            </w:tcBorders>
          </w:tcPr>
          <w:p>
            <w:pPr>
              <w:spacing w:after="0"/>
              <w:rPr>
                <w:sz w:val="20"/>
                <w:szCs w:val="20"/>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software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255,211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royalties</w:t>
            </w: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268,558</w:t>
            </w: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447,830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81,480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43,000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166,667</w:t>
            </w: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66,667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Payable to Le Mans joint venture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124,320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145,193</w:t>
            </w: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fees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130,800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rent</w:t>
            </w: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43,017</w:t>
            </w: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16,140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18,860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19,941</w:t>
            </w: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Accrued other</w:t>
            </w:r>
          </w:p>
        </w:tc>
        <w:tc>
          <w:tcPr>
            <w:tcW w:w="2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4,843</w:t>
            </w:r>
          </w:p>
        </w:tc>
        <w:tc>
          <w:tcPr>
            <w:tcW w:w="4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9,808</w:t>
            </w:r>
          </w:p>
        </w:tc>
      </w:tr>
      <w:tr>
        <w:trPr>
          <w:trHeight w:val="229"/>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852,938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989,397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MEMBER’S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Predecessor period ended August 14, 2018, the Company recognized aggregate stock-based compensation expense of $546,546 related to stock options and warrants. As of December 31, 2019, there was no unrecognized stock-based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 – 704Games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704Games has outstanding ten-year options with two employees to purchase an aggregate of 16,113 shares of common stock at an exercise price of $55.67 per share. Based on the terms of the option agreements, as part of the Acquisition, these options became fully vested.</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applying the Black-Scholes option pricing model to stock options granted during the Predecessor period ended August 14, 2018, the Company used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Predecessor</w:t>
            </w:r>
          </w:p>
        </w:tc>
      </w:tr>
      <w:tr>
        <w:trPr>
          <w:trHeight w:val="198"/>
        </w:trPr>
        <w:tc>
          <w:tcPr>
            <w:tcW w:w="3860" w:type="dxa"/>
            <w:vAlign w:val="bottom"/>
          </w:tcPr>
          <w:p>
            <w:pPr>
              <w:spacing w:after="0"/>
              <w:rPr>
                <w:sz w:val="17"/>
                <w:szCs w:val="17"/>
                <w:color w:val="auto"/>
              </w:rPr>
            </w:pPr>
          </w:p>
        </w:tc>
        <w:tc>
          <w:tcPr>
            <w:tcW w:w="16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For the Period From</w:t>
            </w:r>
          </w:p>
        </w:tc>
        <w:tc>
          <w:tcPr>
            <w:tcW w:w="160" w:type="dxa"/>
            <w:vAlign w:val="bottom"/>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17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January 1, 2018 to</w:t>
            </w:r>
          </w:p>
        </w:tc>
      </w:tr>
      <w:tr>
        <w:trPr>
          <w:trHeight w:val="241"/>
        </w:trPr>
        <w:tc>
          <w:tcPr>
            <w:tcW w:w="3860" w:type="dxa"/>
            <w:vAlign w:val="bottom"/>
          </w:tcPr>
          <w:p>
            <w:pPr>
              <w:spacing w:after="0"/>
              <w:rPr>
                <w:sz w:val="20"/>
                <w:szCs w:val="20"/>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August 14, 2018</w:t>
            </w:r>
          </w:p>
        </w:tc>
      </w:tr>
      <w:tr>
        <w:trPr>
          <w:trHeight w:val="216"/>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- 5,04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50.53%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- 2.83%</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Expected dividends</w:t>
            </w:r>
          </w:p>
        </w:tc>
        <w:tc>
          <w:tcPr>
            <w:tcW w:w="1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 no option grants during the Successor Periods ended December 31, 2019 and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stock option activity during the year ended December 31,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Term (Years)</w:t>
            </w:r>
          </w:p>
        </w:tc>
        <w:tc>
          <w:tcPr>
            <w:tcW w:w="140" w:type="dxa"/>
            <w:vAlign w:val="bottom"/>
          </w:tcPr>
          <w:p>
            <w:pPr>
              <w:spacing w:after="0"/>
              <w:rPr>
                <w:sz w:val="20"/>
                <w:szCs w:val="20"/>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216"/>
        </w:trPr>
        <w:tc>
          <w:tcPr>
            <w:tcW w:w="3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16,113</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2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780" w:type="dxa"/>
            <w:vAlign w:val="bottom"/>
            <w:tcBorders>
              <w:top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December 31, 2019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55.67</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7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88"/>
              </w:rPr>
              <w:t>Stock Warrants – 704Games</w:t>
            </w:r>
          </w:p>
        </w:tc>
        <w:tc>
          <w:tcPr>
            <w:tcW w:w="160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60" w:type="dxa"/>
            <w:vAlign w:val="bottom"/>
            <w:tcBorders>
              <w:bottom w:val="single" w:sz="8" w:color="auto"/>
            </w:tcBorders>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704Games has outstanding ten-year warrants to purchase 4,000 shares of common stock at an exercise price of $93.03 per share. The issuance date fair value of $187,706 was recognized in the Predecessor period ended August 14, 2018. As of December 31, 2019, the warrants are fully vested, have no intrinsic value and have a weighted average remaining life of 5.4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Appreciation Rights – 704Games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April 3, 2017, as amended on August 8, 2018, 704Games effected the 2017 Appreciation Plan (“SAR Plan”) that provides a means whereby directors, officers, employees, consultants or advisors of 704Games can be granted Stock Appreciation Rights (“SARs”) as incentive compensation measured by reference to the value of common stock. A total of 25,734 SARs may be granted under the SAR Plan. The SARs granted under the SAR Plan that vest are to be settled in cash only upon the occurrence of a change of control event, as defined in the SAR Plan.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2018, in connection with the Acquisition, an aggregate of 20,583 SARs were amended, such that their strike price was reduced from $88.76 to $55.67 per share.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2018, there were 20,583 SARs outstanding with an exercise price of $55.67 per share. During the year ended December 31, 2019, an aggregate of 6,671 SARs were forfeited, such that as of December 31, 2019, there were 13,912 SARs outstanding with an exercise price of $55.67 per share. The Company determined that the SARs do not result in liability classification and no compensation expense should be recognized, as the contingent event (the liquidity event) is not probable as it is outside the control of the employee. The probability of the contingent event will be reassessed by the Company at each reporting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3, 2018, the Company entered into an agreement with its parent, Motorsport Network, to provide the Company exclusive promotion services for the Company’s business, organizations, products and services. The promotion agreement shall remain in effect until such date that Motorsport Network no longer holds at least twenty percent (20%) of the voting interest in the Company, at which time the promotion agreement will terminate automatically, unless otherwise extended by the parties. The Company shall give Motorsport Network an exclusive first look on any media-related activity in consideration of the promotion services.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Company’s parent, Motorsport Network, and other related entities pay for Company expenses on the Company’s behalf. In addition, Motorsport Network occasionally advances funds to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Successor Periods ended December 31, 2019 and 2018, the Company incurred expenses of $647,513 and $8,027, respectively, that were paid by Motorsport Network on its behalf and are reimbursable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Successor Periods ended December 31, 2019 and 2018, the Company received proceeds of $2,274,875 and $4,000,500, respectively, in connection with non-interest-bearing advances from Motorsport Network.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Successor Periods ended December 31, 2019 and 2018, an entity wholly owned by Motorsport Network provided services associated with In-Kind Consideration of $641,938 and $472,669, respectively, to 704Games in connection with the terms of the Acquisition. Such amounts are reflected as related party operating expenses on the consolidated statements of operations.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2019 and 2018, there was $8,045,522 and $4,481,196, respectively, related to these transactions included within due to related parties on the consolidated balance sheets. See Note 14 – Subsequent Events – Promissory Note Line of Credit for additional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conditions may exist as of the date the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assessment of a contingency indicates that it is probable that a material loss has been incurred and the amount of the liability can be estimated, then the estimated liability would be accrued in the Company’s consolidated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 As of December 31, 2019 and 2018, the Company has not accrued any amounts for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NTP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Acquisition, the Company is a party to an agreement (the “NPT Agreement”) with NASCAR® Team Licensing Trust d/b/a NASCAR® Team Properties (“NTP”). As part of the NTP Agreement, the Company has royalty minimums to be paid annually to NTP through December 31, 2029. The NTP Agreement included a warrant issued to NTP to purchase 4,000 shares of the common stock of 704Games, which vested over a four-year period and expires in August 2025. See Note 8 – Member’s Equity – Stock Warrants – 704Games for additional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leases its facilities under operating leases. The Company’s rent expense under its operating leases was $161,695 and $59,166 for the Successor Periods ended December 31, 2019 and 2018, respectively. The Company’s rent expense under its operating lease was $132,587 for the Predecessor Period ended August 14, 2018.</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March 7, 2019, the Company entered into a lease agreement for 2,190 square feet of office space in Orlando, Florida beginning April 1, 2019 and ending April 30, 2021. The base rent ranges from $3,833 to $3,947 per month over the term of the lease for a total base rent lease commitment of approximately $93,000. The security deposit is approximately $4,000.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3, 2019, the Company entered into a lease agreement for 5,586 square feet of office space in Charlotte, North Carolina beginning May 3, 2019 and ending August 31, 2024. The base rent ranges from $13,965 to $16,189 per month over the term of the lease for a total base rent lease commitment of approximately $954,000. The security deposit is approximately $42,000. See Note 14 – Subsequent Events – Sublease Agreement for details associated with a sublease of the office space.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15, 2019, the Company entered into a three-year lease agreement for office space in Moscow, Russia beginning April 15, 2019 and ending April 15, 2022. The base rent is $9,000 per month over the term of the lease for a total base rent lease commitment of approximately $324,000. The security deposit is approximately $10,000.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payments under our non-cancellable operating leases as of December 31,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For the Years Ending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325,758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299,766</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9"/>
              </w:rPr>
              <w:t>208,320</w:t>
            </w:r>
          </w:p>
        </w:tc>
        <w:tc>
          <w:tcPr>
            <w:tcW w:w="40" w:type="dxa"/>
            <w:vAlign w:val="bottom"/>
            <w:shd w:val="clear" w:color="auto" w:fill="CCEEFF"/>
          </w:tcPr>
          <w:p>
            <w:pPr>
              <w:spacing w:after="0"/>
              <w:rPr>
                <w:sz w:val="18"/>
                <w:szCs w:val="18"/>
                <w:color w:val="auto"/>
              </w:rPr>
            </w:pPr>
          </w:p>
        </w:tc>
      </w:tr>
      <w:tr>
        <w:trPr>
          <w:trHeight w:val="216"/>
        </w:trPr>
        <w:tc>
          <w:tcPr>
            <w:tcW w:w="44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186,782</w:t>
            </w:r>
          </w:p>
        </w:tc>
        <w:tc>
          <w:tcPr>
            <w:tcW w:w="40" w:type="dxa"/>
            <w:vAlign w:val="bottom"/>
          </w:tcPr>
          <w:p>
            <w:pPr>
              <w:spacing w:after="0"/>
              <w:rPr>
                <w:sz w:val="18"/>
                <w:szCs w:val="18"/>
                <w:color w:val="auto"/>
              </w:rPr>
            </w:pPr>
          </w:p>
        </w:tc>
      </w:tr>
      <w:tr>
        <w:trPr>
          <w:trHeight w:val="249"/>
        </w:trPr>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9"/>
              </w:rPr>
              <w:t>127,628</w:t>
            </w:r>
          </w:p>
        </w:tc>
        <w:tc>
          <w:tcPr>
            <w:tcW w:w="40" w:type="dxa"/>
            <w:vAlign w:val="bottom"/>
            <w:shd w:val="clear" w:color="auto" w:fill="CCEEFF"/>
          </w:tcPr>
          <w:p>
            <w:pPr>
              <w:spacing w:after="0"/>
              <w:rPr>
                <w:sz w:val="21"/>
                <w:szCs w:val="21"/>
                <w:color w:val="auto"/>
              </w:rPr>
            </w:pPr>
          </w:p>
        </w:tc>
      </w:tr>
      <w:tr>
        <w:trPr>
          <w:trHeight w:val="217"/>
        </w:trPr>
        <w:tc>
          <w:tcPr>
            <w:tcW w:w="4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1,148,254</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Joint Venture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15, 2019, Motorsport Games (Party B) entered into a joint venture agreement with Automobile Club De L’Ouest (Party A), whereby Motorsport Games acquired 45 B Shares, which represented 45% of the equity interests of Le Mans, and Automobile Club De L’Ouest acquired 55 A Shares of Le Mans, which represented the remaining 55% of the equity interests of Le Mans. Under the joint venture agreement, Motorsport Games and Automobile Club De L’Ouest are jointly and severally liable for the fulfillment of the obligations of the joint venture. The parties agreed to make the following in-kind contributions to Le Mans:</w:t>
      </w:r>
    </w:p>
    <w:p>
      <w:pPr>
        <w:spacing w:after="0" w:line="188" w:lineRule="exact"/>
        <w:rPr>
          <w:sz w:val="20"/>
          <w:szCs w:val="20"/>
          <w:color w:val="auto"/>
        </w:rPr>
      </w:pPr>
    </w:p>
    <w:p>
      <w:pPr>
        <w:ind w:left="980" w:hanging="324"/>
        <w:spacing w:after="0" w:line="258"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Automobile Club De L’Ouest has and will continue to provide a dedicated team to develop and implement the business and has and will continue to make the 24 Hours of Le Mans brand available to Le Mans under a separate license agreement; and</w:t>
      </w:r>
    </w:p>
    <w:p>
      <w:pPr>
        <w:spacing w:after="0" w:line="1" w:lineRule="exact"/>
        <w:rPr>
          <w:rFonts w:ascii="Arial" w:cs="Arial" w:eastAsia="Arial" w:hAnsi="Arial"/>
          <w:sz w:val="18"/>
          <w:szCs w:val="18"/>
          <w:color w:val="auto"/>
        </w:rPr>
      </w:pPr>
    </w:p>
    <w:p>
      <w:pPr>
        <w:jc w:val="both"/>
        <w:ind w:left="980" w:hanging="324"/>
        <w:spacing w:after="0" w:line="277" w:lineRule="auto"/>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Motorsport Games has provided and will continue to provide a dedicated team to develop and implement the business and has and will continue to make itself and its employees, who have experience in e-sports and e-gaming platforms, available to develop the business and create a dedicated gaming platform for use by and to facilitate the continued development of the business.</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2019, the Company’s investment in Le Mans generated a loss of $608,656, which is included in loss attributable to equity method investment in the consolidated statements of operations. As of December 31, 2019, the Company had a $124,321 payable to Le Mans. As of December 31, 2019, there was no investment recorded on the Company’s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 establishes valuation allowances against its net deferred tax assets when it is more likely than not that the benefits will not be realized in the foreseeable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deferred tax assets and liabilities consist of the following at December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5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2,255,880</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1,161,843</w:t>
            </w: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Charitable contribution carryforward</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294,822</w:t>
            </w:r>
          </w:p>
        </w:tc>
        <w:tc>
          <w:tcPr>
            <w:tcW w:w="4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164,903</w:t>
            </w:r>
          </w:p>
        </w:tc>
        <w:tc>
          <w:tcPr>
            <w:tcW w:w="80" w:type="dxa"/>
            <w:vAlign w:val="bottom"/>
          </w:tcPr>
          <w:p>
            <w:pPr>
              <w:spacing w:after="0"/>
              <w:rPr>
                <w:sz w:val="18"/>
                <w:szCs w:val="18"/>
                <w:color w:val="auto"/>
              </w:rPr>
            </w:pPr>
          </w:p>
        </w:tc>
      </w:tr>
      <w:tr>
        <w:trPr>
          <w:trHeight w:val="249"/>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48,878</w:t>
            </w:r>
          </w:p>
        </w:tc>
        <w:tc>
          <w:tcPr>
            <w:tcW w:w="4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559,112</w:t>
            </w:r>
          </w:p>
        </w:tc>
        <w:tc>
          <w:tcPr>
            <w:tcW w:w="80" w:type="dxa"/>
            <w:vAlign w:val="bottom"/>
            <w:shd w:val="clear" w:color="auto" w:fill="CCEEFF"/>
          </w:tcPr>
          <w:p>
            <w:pPr>
              <w:spacing w:after="0"/>
              <w:rPr>
                <w:sz w:val="21"/>
                <w:szCs w:val="21"/>
                <w:color w:val="auto"/>
              </w:rPr>
            </w:pPr>
          </w:p>
        </w:tc>
      </w:tr>
      <w:tr>
        <w:trPr>
          <w:trHeight w:val="203"/>
        </w:trPr>
        <w:tc>
          <w:tcPr>
            <w:tcW w:w="5560" w:type="dxa"/>
            <w:vAlign w:val="bottom"/>
            <w:tcBorders>
              <w:top w:val="single" w:sz="8" w:color="CCEEFF"/>
            </w:tcBorders>
          </w:tcPr>
          <w:p>
            <w:pPr>
              <w:ind w:left="540"/>
              <w:spacing w:after="0" w:line="203" w:lineRule="exact"/>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2,600,360</w:t>
            </w:r>
          </w:p>
        </w:tc>
        <w:tc>
          <w:tcPr>
            <w:tcW w:w="26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1,885,858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Depreciable assets</w:t>
            </w: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4,847</w:t>
            </w:r>
          </w:p>
        </w:tc>
        <w:tc>
          <w:tcPr>
            <w:tcW w:w="4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973,073</w:t>
            </w:r>
          </w:p>
        </w:tc>
        <w:tc>
          <w:tcPr>
            <w:tcW w:w="4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1,113,109</w:t>
            </w:r>
          </w:p>
        </w:tc>
        <w:tc>
          <w:tcPr>
            <w:tcW w:w="80" w:type="dxa"/>
            <w:vAlign w:val="bottom"/>
            <w:shd w:val="clear" w:color="auto" w:fill="CCEEFF"/>
          </w:tcPr>
          <w:p>
            <w:pPr>
              <w:spacing w:after="0"/>
              <w:rPr>
                <w:sz w:val="21"/>
                <w:szCs w:val="21"/>
                <w:color w:val="auto"/>
              </w:rPr>
            </w:pPr>
          </w:p>
        </w:tc>
      </w:tr>
      <w:tr>
        <w:trPr>
          <w:trHeight w:val="210"/>
        </w:trPr>
        <w:tc>
          <w:tcPr>
            <w:tcW w:w="55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977,920</w:t>
            </w:r>
          </w:p>
        </w:tc>
        <w:tc>
          <w:tcPr>
            <w:tcW w:w="26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1,113,109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assets before valuation allowance</w:t>
            </w: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1,622,440</w:t>
            </w:r>
          </w:p>
        </w:tc>
        <w:tc>
          <w:tcPr>
            <w:tcW w:w="4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772,749</w:t>
            </w:r>
          </w:p>
        </w:tc>
        <w:tc>
          <w:tcPr>
            <w:tcW w:w="80" w:type="dxa"/>
            <w:vAlign w:val="bottom"/>
          </w:tcPr>
          <w:p>
            <w:pPr>
              <w:spacing w:after="0"/>
              <w:rPr>
                <w:sz w:val="18"/>
                <w:szCs w:val="18"/>
                <w:color w:val="auto"/>
              </w:rPr>
            </w:pPr>
          </w:p>
        </w:tc>
      </w:tr>
      <w:tr>
        <w:trPr>
          <w:trHeight w:val="24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(1,622,440)</w:t>
            </w:r>
          </w:p>
        </w:tc>
        <w:tc>
          <w:tcPr>
            <w:tcW w:w="4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(772,749)</w:t>
            </w:r>
          </w:p>
        </w:tc>
      </w:tr>
      <w:tr>
        <w:trPr>
          <w:trHeight w:val="217"/>
        </w:trPr>
        <w:tc>
          <w:tcPr>
            <w:tcW w:w="5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(liability) asset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between the Company’s effective income tax rate and the federal statutory income tax rate for the Successor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and the Predecessor Period ended August 14,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20" w:type="dxa"/>
            <w:vAlign w:val="bottom"/>
          </w:tcPr>
          <w:p>
            <w:pPr>
              <w:spacing w:after="0"/>
              <w:rPr>
                <w:sz w:val="20"/>
                <w:szCs w:val="20"/>
                <w:color w:val="auto"/>
              </w:rPr>
            </w:pPr>
          </w:p>
        </w:tc>
        <w:tc>
          <w:tcPr>
            <w:tcW w:w="19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3"/>
              </w:rPr>
              <w:t>Successor</w:t>
            </w:r>
          </w:p>
        </w:tc>
        <w:tc>
          <w:tcPr>
            <w:tcW w:w="176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20"/>
                <w:szCs w:val="20"/>
                <w:color w:val="auto"/>
              </w:rPr>
            </w:pPr>
          </w:p>
        </w:tc>
        <w:tc>
          <w:tcPr>
            <w:tcW w:w="17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5"/>
              </w:rPr>
              <w:t>Predecessor</w:t>
            </w:r>
          </w:p>
        </w:tc>
      </w:tr>
      <w:tr>
        <w:trPr>
          <w:trHeight w:val="198"/>
        </w:trPr>
        <w:tc>
          <w:tcPr>
            <w:tcW w:w="50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For the Period</w:t>
            </w:r>
          </w:p>
        </w:tc>
        <w:tc>
          <w:tcPr>
            <w:tcW w:w="1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For the Period</w:t>
            </w:r>
          </w:p>
        </w:tc>
        <w:tc>
          <w:tcPr>
            <w:tcW w:w="160" w:type="dxa"/>
            <w:vAlign w:val="bottom"/>
            <w:gridSpan w:val="2"/>
          </w:tcPr>
          <w:p>
            <w:pPr>
              <w:spacing w:after="0"/>
              <w:rPr>
                <w:sz w:val="17"/>
                <w:szCs w:val="17"/>
                <w:color w:val="auto"/>
              </w:rPr>
            </w:pPr>
          </w:p>
        </w:tc>
      </w:tr>
      <w:tr>
        <w:trPr>
          <w:trHeight w:val="216"/>
        </w:trPr>
        <w:tc>
          <w:tcPr>
            <w:tcW w:w="5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90"/>
              </w:rPr>
              <w:t>From August 15,</w:t>
            </w:r>
          </w:p>
        </w:tc>
        <w:tc>
          <w:tcPr>
            <w:tcW w:w="200" w:type="dxa"/>
            <w:vAlign w:val="bottom"/>
          </w:tcPr>
          <w:p>
            <w:pPr>
              <w:spacing w:after="0"/>
              <w:rPr>
                <w:sz w:val="18"/>
                <w:szCs w:val="18"/>
                <w:color w:val="auto"/>
              </w:rPr>
            </w:pPr>
          </w:p>
        </w:tc>
        <w:tc>
          <w:tcPr>
            <w:tcW w:w="17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From January 1,</w:t>
            </w:r>
          </w:p>
        </w:tc>
      </w:tr>
      <w:tr>
        <w:trPr>
          <w:trHeight w:val="216"/>
        </w:trPr>
        <w:tc>
          <w:tcPr>
            <w:tcW w:w="5020" w:type="dxa"/>
            <w:vAlign w:val="bottom"/>
          </w:tcPr>
          <w:p>
            <w:pPr>
              <w:spacing w:after="0"/>
              <w:rPr>
                <w:sz w:val="18"/>
                <w:szCs w:val="18"/>
                <w:color w:val="auto"/>
              </w:rPr>
            </w:pPr>
          </w:p>
        </w:tc>
        <w:tc>
          <w:tcPr>
            <w:tcW w:w="19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2"/>
              </w:rPr>
              <w:t>For the Year Ended</w:t>
            </w:r>
          </w:p>
        </w:tc>
        <w:tc>
          <w:tcPr>
            <w:tcW w:w="176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9"/>
              </w:rPr>
              <w:t>2018 to December</w:t>
            </w:r>
          </w:p>
        </w:tc>
        <w:tc>
          <w:tcPr>
            <w:tcW w:w="20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2018 to August 14,</w:t>
            </w:r>
          </w:p>
        </w:tc>
      </w:tr>
      <w:tr>
        <w:trPr>
          <w:trHeight w:val="241"/>
        </w:trPr>
        <w:tc>
          <w:tcPr>
            <w:tcW w:w="50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3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31, 2018</w:t>
            </w:r>
          </w:p>
        </w:tc>
        <w:tc>
          <w:tcPr>
            <w:tcW w:w="180" w:type="dxa"/>
            <w:vAlign w:val="bottom"/>
            <w:tcBorders>
              <w:bottom w:val="single" w:sz="8" w:color="CCEEFF"/>
              <w:right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benefit</w:t>
            </w:r>
          </w:p>
        </w:tc>
        <w:tc>
          <w:tcPr>
            <w:tcW w:w="1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17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9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7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960" w:type="dxa"/>
            <w:vAlign w:val="bottom"/>
            <w:gridSpan w:val="2"/>
          </w:tcPr>
          <w:p>
            <w:pPr>
              <w:jc w:val="right"/>
              <w:ind w:right="130"/>
              <w:spacing w:after="0"/>
              <w:rPr>
                <w:sz w:val="20"/>
                <w:szCs w:val="20"/>
                <w:color w:val="auto"/>
              </w:rPr>
            </w:pPr>
            <w:r>
              <w:rPr>
                <w:rFonts w:ascii="Arial" w:cs="Arial" w:eastAsia="Arial" w:hAnsi="Arial"/>
                <w:sz w:val="18"/>
                <w:szCs w:val="18"/>
                <w:color w:val="auto"/>
              </w:rPr>
              <w:t>-14.8%</w:t>
            </w:r>
          </w:p>
        </w:tc>
        <w:tc>
          <w:tcPr>
            <w:tcW w:w="17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-27.3%</w:t>
            </w:r>
          </w:p>
        </w:tc>
      </w:tr>
      <w:tr>
        <w:trPr>
          <w:trHeight w:val="25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Effect of flow through entities</w:t>
            </w:r>
          </w:p>
        </w:tc>
        <w:tc>
          <w:tcPr>
            <w:tcW w:w="1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7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0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Effective income tax rate</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80" w:type="dxa"/>
            <w:vAlign w:val="bottom"/>
            <w:tcBorders>
              <w:top w:val="single" w:sz="8" w:color="CCEEFF"/>
              <w:right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0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2019, the Company has United States federal net operating loss carryforwards available to reduce future taxable income in the amount of $8.96 million. Such net operating loss carryforwards are attributable to 704Games. Approximately $3.6 million of the Federal net operating losses do not expire due to changes made by the Tax Cuts and Jobs Act (TCJA). The remaining federal net operating losses of $5.36 million begin to expire in 2035 and the state net operating losses expire between 2030 and 2039. As a result of the 704Games acquisition during the 2018 tax year, certain pre-change federal and state net operating losses were limited under Section 382 of the Internal Revenue Code and were subject to a valuation allowance to the extent they are not expected to be realized in the foreseeable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assessing whether the Company’s deferred tax assets will be realized, management considered whether it was more likely than not that some portion or all of the deferred tax assets will be realized. The ultimate realization of the deferred tax assets is dependent upon the ability to generate future taxable income (including reversals of deferred tax liabilities) during periods in which temporary differences become deductible. A valuation allowance was recognized as of December 31, 2019 and 2018, as management concluded that is not more likely than not that the Company will generate sufficient future income to utilize the NOL carryforward and realize the deferred tax assets.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regularly assesses the likelihood of additional tax assessments by jurisdiction and, if necessary, adjusts its tax reserves based on new information or developments. The Company is not currently under any income tax audits or examinations, however, the tax years 2016-2019 remain open for examination.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CONCENTRATIONS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Concentrations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as to each customer that accounted for 10% or more of the Company’s revenues for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3"/>
              </w:rPr>
              <w:t>Successor</w:t>
            </w:r>
          </w:p>
        </w:tc>
        <w:tc>
          <w:tcPr>
            <w:tcW w:w="168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1"/>
              </w:rPr>
              <w:t>Successor</w:t>
            </w:r>
          </w:p>
        </w:tc>
        <w:tc>
          <w:tcPr>
            <w:tcW w:w="160" w:type="dxa"/>
            <w:vAlign w:val="bottom"/>
          </w:tcPr>
          <w:p>
            <w:pPr>
              <w:spacing w:after="0"/>
              <w:rPr>
                <w:sz w:val="20"/>
                <w:szCs w:val="20"/>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Predecessor</w:t>
            </w:r>
          </w:p>
        </w:tc>
      </w:tr>
      <w:tr>
        <w:trPr>
          <w:trHeight w:val="198"/>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For the Period</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For the Period</w:t>
            </w:r>
          </w:p>
        </w:tc>
        <w:tc>
          <w:tcPr>
            <w:tcW w:w="160" w:type="dxa"/>
            <w:vAlign w:val="bottom"/>
            <w:gridSpan w:val="2"/>
          </w:tcPr>
          <w:p>
            <w:pPr>
              <w:spacing w:after="0"/>
              <w:rPr>
                <w:sz w:val="17"/>
                <w:szCs w:val="17"/>
                <w:color w:val="auto"/>
              </w:rPr>
            </w:pPr>
          </w:p>
        </w:tc>
      </w:t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1"/>
              </w:rPr>
              <w:t>For the Year</w:t>
            </w:r>
          </w:p>
        </w:tc>
        <w:tc>
          <w:tcPr>
            <w:tcW w:w="168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91"/>
              </w:rPr>
              <w:t>From August 15,</w:t>
            </w:r>
          </w:p>
        </w:tc>
        <w:tc>
          <w:tcPr>
            <w:tcW w:w="160" w:type="dxa"/>
            <w:vAlign w:val="bottom"/>
          </w:tcPr>
          <w:p>
            <w:pPr>
              <w:spacing w:after="0"/>
              <w:rPr>
                <w:sz w:val="18"/>
                <w:szCs w:val="18"/>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From January 1,</w:t>
            </w:r>
          </w:p>
        </w:tc>
      </w:t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9"/>
              </w:rPr>
              <w:t>Ended December</w:t>
            </w:r>
          </w:p>
        </w:tc>
        <w:tc>
          <w:tcPr>
            <w:tcW w:w="168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9"/>
              </w:rPr>
              <w:t>2018 to December</w:t>
            </w:r>
          </w:p>
        </w:tc>
        <w:tc>
          <w:tcPr>
            <w:tcW w:w="160" w:type="dxa"/>
            <w:vAlign w:val="bottom"/>
          </w:tcPr>
          <w:p>
            <w:pPr>
              <w:spacing w:after="0"/>
              <w:rPr>
                <w:sz w:val="18"/>
                <w:szCs w:val="18"/>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2018 to August 14,</w:t>
            </w:r>
          </w:p>
        </w:tc>
      </w:tr>
      <w:tr>
        <w:trPr>
          <w:trHeight w:val="241"/>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Customer</w:t>
            </w:r>
          </w:p>
        </w:tc>
        <w:tc>
          <w:tcPr>
            <w:tcW w:w="1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31, 2019</w:t>
            </w:r>
          </w:p>
        </w:tc>
        <w:tc>
          <w:tcPr>
            <w:tcW w:w="3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31, 2018</w:t>
            </w:r>
          </w:p>
        </w:tc>
        <w:tc>
          <w:tcPr>
            <w:tcW w:w="180" w:type="dxa"/>
            <w:vAlign w:val="bottom"/>
            <w:tcBorders>
              <w:bottom w:val="single" w:sz="8" w:color="CCEEFF"/>
              <w:right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39.99%</w:t>
            </w:r>
          </w:p>
        </w:tc>
        <w:tc>
          <w:tcPr>
            <w:tcW w:w="1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820" w:type="dxa"/>
            <w:vAlign w:val="bottom"/>
            <w:gridSpan w:val="2"/>
          </w:tcPr>
          <w:p>
            <w:pPr>
              <w:jc w:val="right"/>
              <w:ind w:right="110"/>
              <w:spacing w:after="0"/>
              <w:rPr>
                <w:sz w:val="20"/>
                <w:szCs w:val="20"/>
                <w:color w:val="auto"/>
              </w:rPr>
            </w:pPr>
            <w:r>
              <w:rPr>
                <w:rFonts w:ascii="Arial" w:cs="Arial" w:eastAsia="Arial" w:hAnsi="Arial"/>
                <w:sz w:val="18"/>
                <w:szCs w:val="18"/>
                <w:color w:val="auto"/>
              </w:rPr>
              <w:t>22.43%</w:t>
            </w:r>
          </w:p>
        </w:tc>
        <w:tc>
          <w:tcPr>
            <w:tcW w:w="16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24.08%</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820" w:type="dxa"/>
            <w:vAlign w:val="bottom"/>
            <w:gridSpan w:val="2"/>
          </w:tcPr>
          <w:p>
            <w:pPr>
              <w:jc w:val="right"/>
              <w:ind w:right="110"/>
              <w:spacing w:after="0"/>
              <w:rPr>
                <w:sz w:val="20"/>
                <w:szCs w:val="20"/>
                <w:color w:val="auto"/>
              </w:rPr>
            </w:pPr>
            <w:r>
              <w:rPr>
                <w:rFonts w:ascii="Arial" w:cs="Arial" w:eastAsia="Arial" w:hAnsi="Arial"/>
                <w:sz w:val="18"/>
                <w:szCs w:val="18"/>
                <w:color w:val="auto"/>
              </w:rPr>
              <w:t>15.86%</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20.80%</w:t>
            </w:r>
          </w:p>
        </w:tc>
      </w:tr>
      <w:tr>
        <w:trPr>
          <w:trHeight w:val="25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18.55%</w:t>
            </w:r>
          </w:p>
        </w:tc>
      </w:tr>
      <w:tr>
        <w:trPr>
          <w:trHeight w:val="216"/>
        </w:trPr>
        <w:tc>
          <w:tcPr>
            <w:tcW w:w="36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77.17</w:t>
            </w:r>
          </w:p>
        </w:tc>
        <w:tc>
          <w:tcPr>
            <w:tcW w:w="180" w:type="dxa"/>
            <w:vAlign w:val="bottom"/>
            <w:tcBorders>
              <w:top w:val="single" w:sz="8" w:color="CCEEFF"/>
              <w:right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as to each customer that accounted for 10% or more of the Company’s accounts receivable as of:</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3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Customer</w:t>
            </w: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3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Customer A</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4"/>
              </w:rPr>
              <w:t>82.99</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7"/>
        </w:trPr>
        <w:tc>
          <w:tcPr>
            <w:tcW w:w="3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Total</w:t>
            </w:r>
          </w:p>
        </w:tc>
        <w:tc>
          <w:tcPr>
            <w:tcW w:w="940" w:type="dxa"/>
            <w:vAlign w:val="bottom"/>
          </w:tcPr>
          <w:p>
            <w:pPr>
              <w:ind w:left="540"/>
              <w:spacing w:after="0"/>
              <w:rPr>
                <w:sz w:val="20"/>
                <w:szCs w:val="20"/>
                <w:color w:val="auto"/>
              </w:rPr>
            </w:pPr>
            <w:r>
              <w:rPr>
                <w:rFonts w:ascii="Arial" w:cs="Arial" w:eastAsia="Arial" w:hAnsi="Arial"/>
                <w:sz w:val="18"/>
                <w:szCs w:val="18"/>
                <w:color w:val="auto"/>
                <w:w w:val="84"/>
              </w:rPr>
              <w:t>82.99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80.57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reduction in sales from or loss of these customers would have a material adverse effect on the Company’s results of operations and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Supplier Concentrations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as to each supplier that accounted for 10% or more of the Company’s cost of revenues for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3"/>
              </w:rPr>
              <w:t>Successor</w:t>
            </w:r>
          </w:p>
        </w:tc>
        <w:tc>
          <w:tcPr>
            <w:tcW w:w="18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3"/>
              </w:rPr>
              <w:t>Successor</w:t>
            </w:r>
          </w:p>
        </w:tc>
        <w:tc>
          <w:tcPr>
            <w:tcW w:w="166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5"/>
              </w:rPr>
              <w:t>Predecessor</w:t>
            </w:r>
          </w:p>
        </w:tc>
      </w:tr>
      <w:tr>
        <w:trPr>
          <w:trHeight w:val="198"/>
        </w:trPr>
        <w:tc>
          <w:tcPr>
            <w:tcW w:w="8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For the Period</w:t>
            </w:r>
          </w:p>
        </w:tc>
        <w:tc>
          <w:tcPr>
            <w:tcW w:w="340" w:type="dxa"/>
            <w:vAlign w:val="bottom"/>
          </w:tcPr>
          <w:p>
            <w:pPr>
              <w:spacing w:after="0"/>
              <w:rPr>
                <w:sz w:val="17"/>
                <w:szCs w:val="17"/>
                <w:color w:val="auto"/>
              </w:rPr>
            </w:pPr>
          </w:p>
        </w:tc>
        <w:tc>
          <w:tcPr>
            <w:tcW w:w="1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For the Period</w:t>
            </w:r>
          </w:p>
        </w:tc>
        <w:tc>
          <w:tcPr>
            <w:tcW w:w="160" w:type="dxa"/>
            <w:vAlign w:val="bottom"/>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1"/>
              </w:rPr>
              <w:t>For the Year</w:t>
            </w:r>
          </w:p>
        </w:tc>
        <w:tc>
          <w:tcPr>
            <w:tcW w:w="18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From August 15,</w:t>
            </w:r>
          </w:p>
        </w:tc>
        <w:tc>
          <w:tcPr>
            <w:tcW w:w="16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3"/>
              </w:rPr>
              <w:t>From January 1,</w:t>
            </w:r>
          </w:p>
        </w:tc>
      </w:tr>
      <w:tr>
        <w:trPr>
          <w:trHeight w:val="216"/>
        </w:trPr>
        <w:tc>
          <w:tcPr>
            <w:tcW w:w="8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9"/>
              </w:rPr>
              <w:t>Ended December</w:t>
            </w:r>
          </w:p>
        </w:tc>
        <w:tc>
          <w:tcPr>
            <w:tcW w:w="184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9"/>
              </w:rPr>
              <w:t>2018 to December</w:t>
            </w:r>
          </w:p>
        </w:tc>
        <w:tc>
          <w:tcPr>
            <w:tcW w:w="16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2018 to August 14,</w:t>
            </w:r>
          </w:p>
        </w:tc>
      </w:tr>
      <w:tr>
        <w:trPr>
          <w:trHeight w:val="241"/>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Supplier</w:t>
            </w:r>
          </w:p>
        </w:tc>
        <w:tc>
          <w:tcPr>
            <w:tcW w:w="26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31, 2019</w:t>
            </w:r>
          </w:p>
        </w:tc>
        <w:tc>
          <w:tcPr>
            <w:tcW w:w="3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31, 2018</w:t>
            </w:r>
          </w:p>
        </w:tc>
        <w:tc>
          <w:tcPr>
            <w:tcW w:w="3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8"/>
              </w:rPr>
              <w:t>Supplier A</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28.39%</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w w:val="98"/>
              </w:rPr>
              <w:t>Supplier B</w:t>
            </w:r>
          </w:p>
        </w:tc>
        <w:tc>
          <w:tcPr>
            <w:tcW w:w="4640" w:type="dxa"/>
            <w:vAlign w:val="bottom"/>
            <w:gridSpan w:val="4"/>
          </w:tcPr>
          <w:p>
            <w:pPr>
              <w:jc w:val="right"/>
              <w:ind w:right="90"/>
              <w:spacing w:after="0"/>
              <w:rPr>
                <w:sz w:val="20"/>
                <w:szCs w:val="20"/>
                <w:color w:val="auto"/>
              </w:rPr>
            </w:pPr>
            <w:r>
              <w:rPr>
                <w:rFonts w:ascii="Arial" w:cs="Arial" w:eastAsia="Arial" w:hAnsi="Arial"/>
                <w:sz w:val="18"/>
                <w:szCs w:val="18"/>
                <w:color w:val="auto"/>
              </w:rPr>
              <w:t>22.41%</w:t>
            </w:r>
          </w:p>
        </w:tc>
        <w:tc>
          <w:tcPr>
            <w:tcW w:w="1840" w:type="dxa"/>
            <w:vAlign w:val="bottom"/>
            <w:gridSpan w:val="2"/>
          </w:tcPr>
          <w:p>
            <w:pPr>
              <w:jc w:val="right"/>
              <w:ind w:right="90"/>
              <w:spacing w:after="0"/>
              <w:rPr>
                <w:sz w:val="20"/>
                <w:szCs w:val="20"/>
                <w:color w:val="auto"/>
              </w:rPr>
            </w:pPr>
            <w:r>
              <w:rPr>
                <w:rFonts w:ascii="Arial" w:cs="Arial" w:eastAsia="Arial" w:hAnsi="Arial"/>
                <w:sz w:val="18"/>
                <w:szCs w:val="18"/>
                <w:color w:val="auto"/>
              </w:rPr>
              <w:t>24.63%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12.29%</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7"/>
              </w:rPr>
              <w:t>Supplier C</w:t>
            </w:r>
          </w:p>
        </w:tc>
        <w:tc>
          <w:tcPr>
            <w:tcW w:w="464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15.16%</w:t>
            </w:r>
          </w:p>
        </w:tc>
        <w:tc>
          <w:tcPr>
            <w:tcW w:w="1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17.58%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w w:val="97"/>
              </w:rPr>
              <w:t>Supplier D</w:t>
            </w:r>
          </w:p>
        </w:tc>
        <w:tc>
          <w:tcPr>
            <w:tcW w:w="4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40" w:type="dxa"/>
            <w:vAlign w:val="bottom"/>
            <w:gridSpan w:val="2"/>
          </w:tcPr>
          <w:p>
            <w:pPr>
              <w:jc w:val="right"/>
              <w:ind w:right="90"/>
              <w:spacing w:after="0"/>
              <w:rPr>
                <w:sz w:val="20"/>
                <w:szCs w:val="20"/>
                <w:color w:val="auto"/>
              </w:rPr>
            </w:pPr>
            <w:r>
              <w:rPr>
                <w:rFonts w:ascii="Arial" w:cs="Arial" w:eastAsia="Arial" w:hAnsi="Arial"/>
                <w:sz w:val="18"/>
                <w:szCs w:val="18"/>
                <w:color w:val="auto"/>
              </w:rPr>
              <w:t>27.86%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37.86%</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8"/>
              </w:rPr>
              <w:t>Supplier E</w:t>
            </w:r>
          </w:p>
        </w:tc>
        <w:tc>
          <w:tcPr>
            <w:tcW w:w="464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10.63%</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w w:val="99"/>
              </w:rPr>
              <w:t>Supplier F</w:t>
            </w:r>
          </w:p>
        </w:tc>
        <w:tc>
          <w:tcPr>
            <w:tcW w:w="4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19.70%</w:t>
            </w:r>
          </w:p>
        </w:tc>
      </w:tr>
      <w:tr>
        <w:trPr>
          <w:trHeight w:val="229"/>
        </w:trPr>
        <w:tc>
          <w:tcPr>
            <w:tcW w:w="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4640" w:type="dxa"/>
            <w:vAlign w:val="bottom"/>
            <w:gridSpan w:val="4"/>
          </w:tcPr>
          <w:p>
            <w:pPr>
              <w:jc w:val="right"/>
              <w:ind w:right="3410"/>
              <w:spacing w:after="0"/>
              <w:rPr>
                <w:sz w:val="20"/>
                <w:szCs w:val="20"/>
                <w:color w:val="auto"/>
              </w:rPr>
            </w:pPr>
            <w:r>
              <w:rPr>
                <w:rFonts w:ascii="Arial" w:cs="Arial" w:eastAsia="Arial" w:hAnsi="Arial"/>
                <w:sz w:val="18"/>
                <w:szCs w:val="18"/>
                <w:color w:val="auto"/>
                <w:w w:val="90"/>
              </w:rPr>
              <w:t>Less than 10%.</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REPORTING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principal operating segments coincide with the types of products and services to be sold. The products and services from which revenues are derived are consistent with the reporting structure of the Company’s internal organization. The Company’s two reportable segments for the Successor Periods ended December 31, 2019 and 2018 and the Predecessor Period ended August 14, 2018 were (i) the Gaming segment and (ii) the esports segment. The Company’s chief operating decision-maker has been identified as the CEO, who reviews operating results to make decisions about allocating resources and assessing performance for the entire Company. Segment information is presented based upon the Company’s management organization structure as of December 31, 2019 and the distinctive nature of each segment. Future changes to this internal financial structure may result in changes to the reportable segments disclosed. There are no inter-segment revenue transactions and, therefore, revenues are only to external customers. As the Company primarily generates its revenues from customers in the United States, no geographical segments are presented. Given that the Company’s esports segment just began its operations in late 2018, it has no separate assets. That being said, the Company expects that its esports segment will have separate assets in the future.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Segment operating profit is determined based upon internal performance measures used by the chief operating decision-maker. The Company derives the segment results from its internal management reporting system. The accounting policies the Company uses to derive reportable segment results are the same as those used for external reporting purposes. Management measures the performance of each reportable segment based upon several metrics, including net revenues, gross profit and operating loss. Management uses these results to evaluate the performance of, and to assign resources to, each of the reportable segments. The Company manages certain operating expenses separately at the corporate level and does not allocate such expenses to the segments. Segment income from operations excludes interest income/expense and other income or expenses and income taxes according to how a particular reportable segment’s management is measured. Management does not consider impairment charges, and unallocated costs in measuring the performance of the reportable segments.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information available with respect to these reportable business segments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Successor</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right w:val="single" w:sz="8" w:color="auto"/>
            </w:tcBorders>
            <w:gridSpan w:val="4"/>
          </w:tcPr>
          <w:p>
            <w:pPr>
              <w:jc w:val="center"/>
              <w:ind w:right="181"/>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3"/>
              </w:rPr>
              <w:t>Predecessor</w:t>
            </w:r>
          </w:p>
        </w:tc>
      </w:tr>
      <w:tr>
        <w:trPr>
          <w:trHeight w:val="198"/>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For the Period</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For the Period</w:t>
            </w:r>
          </w:p>
        </w:tc>
        <w:tc>
          <w:tcPr>
            <w:tcW w:w="100" w:type="dxa"/>
            <w:vAlign w:val="bottom"/>
          </w:tcPr>
          <w:p>
            <w:pPr>
              <w:spacing w:after="0"/>
              <w:rPr>
                <w:sz w:val="17"/>
                <w:szCs w:val="17"/>
                <w:color w:val="auto"/>
              </w:rPr>
            </w:pPr>
          </w:p>
        </w:tc>
      </w:tr>
      <w:tr>
        <w:trPr>
          <w:trHeight w:val="216"/>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the Year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right w:val="single" w:sz="8" w:color="auto"/>
            </w:tcBorders>
            <w:gridSpan w:val="5"/>
          </w:tcPr>
          <w:p>
            <w:pPr>
              <w:jc w:val="center"/>
              <w:ind w:right="41"/>
              <w:spacing w:after="0"/>
              <w:rPr>
                <w:sz w:val="20"/>
                <w:szCs w:val="20"/>
                <w:color w:val="auto"/>
              </w:rPr>
            </w:pPr>
            <w:r>
              <w:rPr>
                <w:rFonts w:ascii="Arial" w:cs="Arial" w:eastAsia="Arial" w:hAnsi="Arial"/>
                <w:sz w:val="18"/>
                <w:szCs w:val="18"/>
                <w:b w:val="1"/>
                <w:bCs w:val="1"/>
                <w:color w:val="auto"/>
                <w:w w:val="91"/>
              </w:rPr>
              <w:t>From August 15,</w:t>
            </w:r>
          </w:p>
        </w:tc>
        <w:tc>
          <w:tcPr>
            <w:tcW w:w="200" w:type="dxa"/>
            <w:vAlign w:val="bottom"/>
          </w:tcPr>
          <w:p>
            <w:pPr>
              <w:spacing w:after="0"/>
              <w:rPr>
                <w:sz w:val="18"/>
                <w:szCs w:val="18"/>
                <w:color w:val="auto"/>
              </w:rPr>
            </w:pPr>
          </w:p>
        </w:tc>
        <w:tc>
          <w:tcPr>
            <w:tcW w:w="156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3"/>
              </w:rPr>
              <w:t>From January 1,</w:t>
            </w:r>
          </w:p>
        </w:tc>
      </w:tr>
      <w:tr>
        <w:trPr>
          <w:trHeight w:val="216"/>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Ended December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right w:val="single" w:sz="8" w:color="auto"/>
            </w:tcBorders>
            <w:gridSpan w:val="5"/>
          </w:tcPr>
          <w:p>
            <w:pPr>
              <w:jc w:val="center"/>
              <w:ind w:right="41"/>
              <w:spacing w:after="0"/>
              <w:rPr>
                <w:sz w:val="20"/>
                <w:szCs w:val="20"/>
                <w:color w:val="auto"/>
              </w:rPr>
            </w:pPr>
            <w:r>
              <w:rPr>
                <w:rFonts w:ascii="Arial" w:cs="Arial" w:eastAsia="Arial" w:hAnsi="Arial"/>
                <w:sz w:val="18"/>
                <w:szCs w:val="18"/>
                <w:b w:val="1"/>
                <w:bCs w:val="1"/>
                <w:color w:val="auto"/>
                <w:w w:val="89"/>
              </w:rPr>
              <w:t>2018 to December</w:t>
            </w:r>
          </w:p>
        </w:tc>
        <w:tc>
          <w:tcPr>
            <w:tcW w:w="2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2018 to August 14,</w:t>
            </w:r>
          </w:p>
        </w:tc>
      </w:tr>
      <w:tr>
        <w:trPr>
          <w:trHeight w:val="241"/>
        </w:trPr>
        <w:tc>
          <w:tcPr>
            <w:tcW w:w="50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31, 2019</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88"/>
              </w:rPr>
              <w:t>31, 2018</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Gaming</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11,775,787</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gridSpan w:val="4"/>
          </w:tcPr>
          <w:p>
            <w:pPr>
              <w:jc w:val="right"/>
              <w:ind w:right="41"/>
              <w:spacing w:after="0"/>
              <w:rPr>
                <w:sz w:val="20"/>
                <w:szCs w:val="20"/>
                <w:color w:val="auto"/>
              </w:rPr>
            </w:pPr>
            <w:r>
              <w:rPr>
                <w:rFonts w:ascii="Arial" w:cs="Arial" w:eastAsia="Arial" w:hAnsi="Arial"/>
                <w:sz w:val="18"/>
                <w:szCs w:val="18"/>
                <w:color w:val="auto"/>
              </w:rPr>
              <w:t>10,768,629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3,988,148</w:t>
            </w:r>
          </w:p>
        </w:tc>
      </w:tr>
      <w:tr>
        <w:trPr>
          <w:trHeight w:val="24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tcBorders>
              <w:right w:val="single" w:sz="8" w:color="auto"/>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Segment and Consolidated Revenues</w:t>
            </w:r>
          </w:p>
        </w:tc>
        <w:tc>
          <w:tcPr>
            <w:tcW w:w="9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11,850,787</w:t>
            </w: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10,768,629</w:t>
            </w:r>
          </w:p>
        </w:tc>
        <w:tc>
          <w:tcPr>
            <w:tcW w:w="120" w:type="dxa"/>
            <w:vAlign w:val="bottom"/>
            <w:tcBorders>
              <w:top w:val="single" w:sz="8" w:color="CCEEFF"/>
              <w:bottom w:val="single" w:sz="8" w:color="CCEEFF"/>
              <w:right w:val="single" w:sz="8" w:color="auto"/>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3,988,148</w:t>
            </w:r>
          </w:p>
        </w:tc>
        <w:tc>
          <w:tcPr>
            <w:tcW w:w="100" w:type="dxa"/>
            <w:vAlign w:val="bottom"/>
            <w:tcBorders>
              <w:top w:val="single" w:sz="8" w:color="CCEEFF"/>
              <w:bottom w:val="single" w:sz="8" w:color="CCEEFF"/>
            </w:tcBorders>
          </w:tcPr>
          <w:p>
            <w:pPr>
              <w:spacing w:after="0"/>
              <w:rPr>
                <w:sz w:val="22"/>
                <w:szCs w:val="22"/>
                <w:color w:val="auto"/>
              </w:rPr>
            </w:pPr>
          </w:p>
        </w:tc>
      </w:tr>
      <w:tr>
        <w:trPr>
          <w:trHeight w:val="217"/>
        </w:trPr>
        <w:tc>
          <w:tcPr>
            <w:tcW w:w="50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5080" w:type="dxa"/>
            <w:vAlign w:val="bottom"/>
          </w:tcPr>
          <w:p>
            <w:pPr>
              <w:spacing w:after="0" w:line="203" w:lineRule="exact"/>
              <w:rPr>
                <w:sz w:val="20"/>
                <w:szCs w:val="20"/>
                <w:color w:val="auto"/>
              </w:rPr>
            </w:pPr>
            <w:r>
              <w:rPr>
                <w:rFonts w:ascii="Arial" w:cs="Arial" w:eastAsia="Arial" w:hAnsi="Arial"/>
                <w:sz w:val="18"/>
                <w:szCs w:val="18"/>
                <w:color w:val="auto"/>
              </w:rPr>
              <w:t>Gross Profit:</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Gaming</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7,369,660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6,756,653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2,861,977</w:t>
            </w: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Esports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52,500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right w:val="single" w:sz="8" w:color="auto"/>
            </w:tcBorders>
            <w:gridSpan w:val="4"/>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and Consolidated Gross Profit</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7,422,160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6,756,653</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Gaming</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(4,860,903)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gridSpan w:val="4"/>
          </w:tcPr>
          <w:p>
            <w:pPr>
              <w:jc w:val="right"/>
              <w:ind w:right="41"/>
              <w:spacing w:after="0"/>
              <w:rPr>
                <w:sz w:val="20"/>
                <w:szCs w:val="20"/>
                <w:color w:val="auto"/>
              </w:rPr>
            </w:pPr>
            <w:r>
              <w:rPr>
                <w:rFonts w:ascii="Arial" w:cs="Arial" w:eastAsia="Arial" w:hAnsi="Arial"/>
                <w:sz w:val="18"/>
                <w:szCs w:val="18"/>
                <w:color w:val="auto"/>
              </w:rPr>
              <w:t>1,499,578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(2,516,229)</w:t>
            </w:r>
          </w:p>
        </w:tc>
      </w:tr>
      <w:tr>
        <w:trPr>
          <w:trHeight w:val="25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(275,168)</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tcBorders>
              <w:right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(134,293)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56"/>
        </w:trPr>
        <w:tc>
          <w:tcPr>
            <w:tcW w:w="5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w w:val="97"/>
              </w:rPr>
              <w:t>Total Segment and Consolidated (Loss) Income From Operations</w:t>
            </w:r>
          </w:p>
        </w:tc>
        <w:tc>
          <w:tcPr>
            <w:tcW w:w="9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(5,136,071</w:t>
            </w:r>
          </w:p>
        </w:tc>
        <w:tc>
          <w:tcPr>
            <w:tcW w:w="1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1,365,285</w:t>
            </w:r>
          </w:p>
        </w:tc>
        <w:tc>
          <w:tcPr>
            <w:tcW w:w="120" w:type="dxa"/>
            <w:vAlign w:val="bottom"/>
            <w:tcBorders>
              <w:top w:val="single" w:sz="8" w:color="CCEEFF"/>
              <w:bottom w:val="single" w:sz="8" w:color="CCEEFF"/>
              <w:right w:val="single" w:sz="8" w:color="auto"/>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(2,516,229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Gaming</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861,872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408,078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53,411</w:t>
            </w: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Esports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right w:val="single" w:sz="8" w:color="auto"/>
            </w:tcBorders>
            <w:gridSpan w:val="4"/>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Depreciation and Amortization</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861,872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408,078</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Gaming</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gridSpan w:val="4"/>
          </w:tcPr>
          <w:p>
            <w:pPr>
              <w:jc w:val="right"/>
              <w:ind w:right="41"/>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26,250</w:t>
            </w:r>
          </w:p>
        </w:tc>
      </w:tr>
      <w:tr>
        <w:trPr>
          <w:trHeight w:val="25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tcBorders>
              <w:right w:val="single" w:sz="8" w:color="auto"/>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56"/>
        </w:trPr>
        <w:tc>
          <w:tcPr>
            <w:tcW w:w="5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Segment Interest Expense</w:t>
            </w:r>
          </w:p>
        </w:tc>
        <w:tc>
          <w:tcPr>
            <w:tcW w:w="9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auto"/>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26,250</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in (Loss) Income: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Gaming</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Esports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(608,656)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right w:val="single" w:sz="8" w:color="auto"/>
            </w:tcBorders>
            <w:gridSpan w:val="4"/>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Equity in (Loss) Income</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(608,656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Additions to Long-Lived Assets: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Gaming</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(108,293)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gridSpan w:val="4"/>
          </w:tcPr>
          <w:p>
            <w:pPr>
              <w:jc w:val="right"/>
              <w:spacing w:after="0"/>
              <w:rPr>
                <w:sz w:val="20"/>
                <w:szCs w:val="20"/>
                <w:color w:val="auto"/>
              </w:rPr>
            </w:pPr>
            <w:r>
              <w:rPr>
                <w:rFonts w:ascii="Arial" w:cs="Arial" w:eastAsia="Arial" w:hAnsi="Arial"/>
                <w:sz w:val="18"/>
                <w:szCs w:val="18"/>
                <w:color w:val="auto"/>
              </w:rPr>
              <w:t>(6,548)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(17,420)</w:t>
            </w:r>
          </w:p>
        </w:tc>
      </w:tr>
      <w:tr>
        <w:trPr>
          <w:trHeight w:val="25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tcBorders>
              <w:right w:val="single" w:sz="8" w:color="auto"/>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Expenditures for Additions to Long-Lived Assets:</w:t>
            </w: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(108,293</w:t>
            </w: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(6,548</w:t>
            </w:r>
          </w:p>
        </w:tc>
        <w:tc>
          <w:tcPr>
            <w:tcW w:w="120" w:type="dxa"/>
            <w:vAlign w:val="bottom"/>
            <w:tcBorders>
              <w:top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5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c>
          <w:tcPr>
            <w:tcW w:w="140" w:type="dxa"/>
            <w:vAlign w:val="bottom"/>
          </w:tcPr>
          <w:p>
            <w:pPr>
              <w:spacing w:after="0"/>
              <w:rPr>
                <w:sz w:val="24"/>
                <w:szCs w:val="24"/>
                <w:color w:val="auto"/>
              </w:rPr>
            </w:pPr>
          </w:p>
        </w:tc>
        <w:tc>
          <w:tcPr>
            <w:tcW w:w="1780" w:type="dxa"/>
            <w:vAlign w:val="bottom"/>
            <w:gridSpan w:val="6"/>
          </w:tcPr>
          <w:p>
            <w:pPr>
              <w:jc w:val="right"/>
              <w:ind w:right="601"/>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0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Borders>
              <w:bottom w:val="single" w:sz="8" w:color="CCEEFF"/>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Segment Total Assets: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Gaming</w:t>
            </w:r>
          </w:p>
        </w:tc>
        <w:tc>
          <w:tcPr>
            <w:tcW w:w="11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12,777,274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15,670,258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Consolidated Total assets</w:t>
            </w: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12,777,274</w:t>
            </w: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15,670,258</w:t>
            </w:r>
          </w:p>
        </w:tc>
        <w:tc>
          <w:tcPr>
            <w:tcW w:w="80" w:type="dxa"/>
            <w:vAlign w:val="bottom"/>
            <w:tcBorders>
              <w:top w:val="single" w:sz="8" w:color="CCEEFF"/>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5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F-27</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consolidated financial statements were issued. Other than as described below, the Company did not identify any subsequent events that would have required adjustments or disclosure in the consolidated financial statements or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global spread of the COVID-19 pandemic has created significant business uncertainty for the Company and others, resulting in volatility and economic disruption. Additionally, the outbreak has resulted in government authorities around the world implementing numerous measures to try to reduce the spread of COVID-19, such as travel bans and restrictions, quarantines, shelter-in-place, stay-at-home or total lock-down (or similar) orders and business limitations and shutdowns.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result of the COVID-19 pandemic, including the related responses from government authorities, the Company’s business and operations have been impacted, including the temporary closure of its offices in Orlando, Florida and Moscow, Russia, which has resulted in the Company’s employees working remotely. During the COVID-19 outbreak, demand for the Company’s games has generally increased, which the Company believes is primarily attributable to a higher number of consumers staying at home due to COVID-19 related restrictions. Similarly, there has been a significant increase in viewership of the Company’s esports events since the initial impact of the virus, as these events began to air on both digital and linear platforms, particularly as the Company was able attract many of the top “real world” motorsport stars to compete. However, several retailers have experienced, and continue to experience, closures, reduced operating hours and/or other restrictions as a result of the COVID-19 pandemic, which has negatively impacted the sales of the Company’s products from such retailers. Additionally, in the Company’s esports business, the COVID-19 pandemic has resulted in the postponing of certain events to later dates or shifting events from an in-person format to online only.</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continues to monitor the evolving situation caused by the COVID-19 pandemic, and it may take further actions required by governmental authorities or that it determines are prudent to support the well-being of its employees, suppliers, business partners and others. The degree to which the COVID-19 pandemic impacts the Company’s operations, business, financial results, liquidity, and financial condition will depend on future developments, which are highly uncertain, continuously evolving and cannot be predicted. This includes, but is not limited to, the duration and spread of the pandemic, its severity, actions to contain the virus or treat its impact, and how quickly and to what extent normal economic and operating conditions can resume. Adverse economic and market conditions as a result of COVID-19 could also adversely affect the demand for the Company’s products and may also impact the ability of its customers to satisfy their obligations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with Dmitry Kozko</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entered into an employment agreement, effective as of January 1, 2020, with Dmitry Kozko, Chief Executive Officer of the Company, for a term expiring on December 31, 2024. After such term expires, Mr. Kozko will be employed as an employee “at will.” Mr. Kozko’s base salary will be $500,000 per annum, subject to annual increases to 103% of the base salary paid to Mr. Kozko in the prior calendar year. Mr. Kozko is entitled to participate (in addition to the additional incentive compensation described below) in all equity incentive plans generally available to the Company’s executive officers, subject to the compensation committee of the Company determining any awards and performance metrics for such awards under any such plans. Mr. Kozko is also entitled to certain additional incentive compensation outside of the Company’s equity incentive plans, subject to the satisfaction of certain conditions pursuant to Mr. Kozko’s employment agreement. Mr. Kozko’s employment agreement also provides for payments to him and/or vesting acceleration of certain equity awards upon the termination of his employment in certain circumstances and upon a “Change in Control” (as such term is defined in the employment agreement),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Sublease Agreement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February 21, 2020, the Company entered into a sublease agreement for office space in Charlotte, North Carolina, that provides for rent payments to the Company in the amount of $14,896 per month and ends on August 31, 2024. On March 1, 2021 and each anniversary thereafter for the duration of the term of the sublease, the monthly payment to the Company shall increase by 3% per annum. The security deposit is approximately $30,000.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Promissory Note Line of Credit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1, 2020, the Company entered into a promissory note with Motorsport Network for a line of credit of up to $10,000,000 at an interest rate of 10% per annum. The principal amount under the promissory note was primarily funded through one or more advances from Motorsport Network, including an advance in August 2020 for purposes of acquiring an additional ownership interest in 704Games. Previous non-interest-bearing advances due to Motorsport Network as of December 31, 2019 also were included in the amount outstanding under the promissory note at the time it was executed. The promissory note does not have a stated maturity date and is payable upon demand at any time at the sole and absolute discretion of Motorsport Network, which has agreed, pursuant to a Side Letter Agreement related to the Promissory Note, dated September 4, 2020, not to demand or otherwise accelerate any amount due under the promissory note that would otherwise constrain the Company’s liquidity position, including the Company’s ability to continue as a going concern. The Company may prepay the promissory note in whole or in part at any time or from time to time without penalty or charge. In the event the Company or any of its subsidiaries consummates certain corporate events, including any capital reorganization, consolidation, joint venture, spin off, merger or any other business combination or restructuring of any nature, or if certain events of default occur, the entire principal amount and all accrued and unpaid interest will be accelerated and become payable. As of the date the financial statements were issued, approximately $10 million had been borrowed by the Company under the promissory note.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38"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2019 (Successor), for the Period from August 15, 2018 to December 31, 2018 (Successor) and for the Period from January 1, 2018 to August 14, 2018 (Predecessor)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29, 2020, the Company secured a licensing agreement with the BARC (TOCA) Limited (“BARC”), the exclusive promoter of the BTCC. Pursuant to the agreement, the Company was granted an exclusive license to use certain licensed intellectual property for motorsports and/or racing video gaming products related to, themed as, or containing the BTCC, on consoles and mobile applications, esports series and esports events (including the Company’s esports platform). In exchange for the license, the agreement requires the Company to pay BARC an initial fee in two installments, the first of which was due on June 5, 2020 and the second installment on the earlier of 60 days after the release of the products contemplated by the license or May 29, 2022. Following the initial fee, the agreement also requires the Company to pay royalties, including certain minimum annual guarantees, on an ongoing basis to BARC and to meet certain product distribution, marketing and related milestones, subject to termination penalties.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 2020, the Company entered into a three-year services agreement with Motorsport Network, pursuant to which Motorsport Network will provide exclusive legal, development and accounting services on a full-time basis to support the Company’s business functions. The services agreement can be extended by mutual agreement and may be terminated by either party at any time. Pursuant to the services agreement, the Company is required to pay monthly fees to Motorsport Network as follows: (i) $5,000 for legal services, (ii) $2,500 for accounting services and (iii) on an hourly, per use basis, from $15 to $30 per hour for development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Purchase Agreement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August 18, 2020, the Company entered into a stock purchase agreement with HC2 and Continental General Insurance Company (“Continental”) in which the Company has agreed to purchase an aggregate of 106,307 shares of common stock of 704Games at a price of $11.2881 per share for an aggregate consideration of $1,200,000. If, within and including the date that is six months from the date of the agreement, the Company completes a purchase of some or all of the (i) 41,204 shares of common stock held by Gaming Nation, Inc. or its affiliates or transferees, (ii) 30,903 shares of common stock held by PlayFast Games, LLC or its affiliates or transferees and (iii) 10,301 shares of common stock held by Leo Capital Holdings or its affiliates or transferees (the “Subject Shares”) at a purchase price higher than $11.2881 per share, then, no later than five days following the completion of the purchase, the Company shall pay each of HC2 and Continental an amount per share equal to the amount by which such purchase price per Subject Share exceeds the greater of (a) $11.2881 or (b) the highest price per share previously paid by the Company for any Subject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Formation of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6, 2020, the Company formed its wholly owned subsidiary, Motorsport Games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15, 2020, the Company entered into a five-year lease agreement for office space in Miami, Florida with the managing member of Motorsport Network. The base rent from the lease commencement date through April 15, 2025 is $3,000 per month. The Company has the option to renew the lease for two separate five-year terms, with monthly rent to be negotiated prior to such extension. The security deposit is $6,000.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565785</wp:posOffset>
            </wp:positionV>
            <wp:extent cx="178308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The Benchmark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all expenses to be paid by us, other than underwriting discounts and commissions, in connection with this offering. All amounts shown are estimates except for the Securities and Exchange Commission, or SEC, registration fee, the Financial Industry Regulatory Authority, Inc., or FINRA, filing fee and the Nasdaq Capital Market listing fee.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Capital Stock Market listing fee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Miscellaneous fees</w:t>
            </w: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30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Borders>
              <w:top w:val="single" w:sz="8" w:color="auto"/>
            </w:tcBorders>
            <w:gridSpan w:val="2"/>
          </w:tcPr>
          <w:p>
            <w:pPr>
              <w:ind w:left="400"/>
              <w:spacing w:after="0"/>
              <w:rPr>
                <w:sz w:val="20"/>
                <w:szCs w:val="20"/>
                <w:color w:val="auto"/>
              </w:rPr>
            </w:pPr>
            <w:r>
              <w:rPr>
                <w:rFonts w:ascii="Arial" w:cs="Arial" w:eastAsia="Arial" w:hAnsi="Arial"/>
                <w:sz w:val="18"/>
                <w:szCs w:val="18"/>
                <w:color w:val="auto"/>
                <w:w w:val="88"/>
              </w:rPr>
              <w:t>* To be completed by amendment</w:t>
            </w:r>
          </w:p>
        </w:tc>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300" w:type="dxa"/>
            <w:vAlign w:val="bottom"/>
            <w:gridSpan w:val="3"/>
          </w:tcPr>
          <w:p>
            <w:pPr>
              <w:spacing w:after="0"/>
              <w:rPr>
                <w:sz w:val="20"/>
                <w:szCs w:val="20"/>
                <w:color w:val="auto"/>
              </w:rPr>
            </w:pPr>
            <w:r>
              <w:rPr>
                <w:rFonts w:ascii="Arial" w:cs="Arial" w:eastAsia="Arial" w:hAnsi="Arial"/>
                <w:sz w:val="18"/>
                <w:szCs w:val="18"/>
                <w:b w:val="1"/>
                <w:bCs w:val="1"/>
                <w:color w:val="auto"/>
              </w:rPr>
              <w:t>Item 14. Indemnification of Directors and Officers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145 of the Delaware General Corporation Law (the “DGCL”) grants each corporation organized thereunder the power to indemnify any person who is or was a director, officer, employee or agent of a corporation or enterprise, against expenses, including attorneys’ fees, judgments, fines and amounts paid in settlement actually and reasonably incurred by him in connection with any threatened, pending or completed action, suit or proceeding, whether civil, criminal, administrative or investigative, other than an action by or in the right of the corporation, by reason of being or having been in any such capacity, if he acted in good faith and in a manner reasonably believed to be in, or not opposed to, the best interests of the corporation, and, with respect to any criminal action or proceeding, had no reasonable cause to believe his conduct was unlawful.</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except (i) for any breach of the director’s duty of loyalty to the corporation or its stockholders, (ii) for acts or omissions not in good faith or that involve intentional misconduct or a knowing violation of law, (iii) pursuant to Section 174 of the DGCL (providing for liability of directors for unlawful payment of dividends or unlawful stock purchases or redemptions) or (iv) for any transaction from which a director derived an improper personal benefit. Our certificate of incorporation will include a provision that eliminates the personal liability of directors for monetary damages for actions taken as a director to the fullest extent authorized by the DGCL.</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and executive officers to provide these directors and executive officers additional contractual assurances regarding the scope of the indemnification set forth in our certificate of incorporation and bylaws and to provide additional procedural protections. At present, there is no pending litigation or proceeding involving any of our directors or executive officers regarding which indemnification is sought. The underwriting agreement to be filed as Exhibit 1.1 to this registration statement will also provide for, under certain conditions, the indemnification by the underwriter of the Company and its executive officers and directors for certain liabilities arising under the Securities Act and otherwise.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obtain insurance policies under which, subject to the limitations of the policies, coverage will be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20, 2020, the Company entered into a promotional services agreement with Fernando Alonso. Pursuant to this agreement, Mr. Alonso agreed to provide certain promotional services and to perform an advisory role for the Company. Subject to the closing of this offering and the satisfaction of certain other closing conditions, at the time of, or as promptly as possible after the closing of this offering, the Company agreed to issue to Mr. Alonso such number of shares that represents 3.0% of the issued and outstanding shares of the Class A common stock of the Company as of the closing date of this offering. The shares will be issued to Mr. Alonso in reliance upon the exemption from the registration requirements of the Securities Act set forth in Section 4(a)(2) of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41"/>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7420" w:type="dxa"/>
            <w:vAlign w:val="bottom"/>
            <w:tcBorders>
              <w:bottom w:val="single" w:sz="8" w:color="auto"/>
            </w:tcBorders>
          </w:tcPr>
          <w:p>
            <w:pPr>
              <w:ind w:left="2860"/>
              <w:spacing w:after="0"/>
              <w:rPr>
                <w:sz w:val="20"/>
                <w:szCs w:val="20"/>
                <w:color w:val="auto"/>
              </w:rPr>
            </w:pPr>
            <w:r>
              <w:rPr>
                <w:rFonts w:ascii="Arial" w:cs="Arial" w:eastAsia="Arial" w:hAnsi="Arial"/>
                <w:sz w:val="18"/>
                <w:szCs w:val="18"/>
                <w:b w:val="1"/>
                <w:bCs w:val="1"/>
                <w:color w:val="auto"/>
              </w:rPr>
              <w:t>Description of Exhibit</w:t>
            </w:r>
          </w:p>
        </w:tc>
        <w:tc>
          <w:tcPr>
            <w:tcW w:w="120" w:type="dxa"/>
            <w:vAlign w:val="bottom"/>
          </w:tcPr>
          <w:p>
            <w:pPr>
              <w:spacing w:after="0"/>
              <w:rPr>
                <w:sz w:val="20"/>
                <w:szCs w:val="20"/>
                <w:color w:val="auto"/>
              </w:rPr>
            </w:pPr>
          </w:p>
        </w:tc>
        <w:tc>
          <w:tcPr>
            <w:tcW w:w="26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Method of Filing</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Form of Underwriting Agreement</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Form of Plan of Conversion of Motorsport Gaming US LLC</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2.2</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Form of Delaware Certificate of Conversion</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2.3</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Form of Florida Articles of Conversion</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2.4</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w w:val="99"/>
              </w:rPr>
              <w:t>Stock Purchase Agreement, dated August 14, 2018, by and between 704Games Company and</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230"/>
        </w:trPr>
        <w:tc>
          <w:tcPr>
            <w:tcW w:w="980" w:type="dxa"/>
            <w:vAlign w:val="bottom"/>
          </w:tcPr>
          <w:p>
            <w:pPr>
              <w:spacing w:after="0"/>
              <w:rPr>
                <w:sz w:val="20"/>
                <w:szCs w:val="20"/>
                <w:color w:val="auto"/>
              </w:rPr>
            </w:pP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Motorsport Gaming US LLC</w:t>
            </w:r>
          </w:p>
        </w:tc>
        <w:tc>
          <w:tcPr>
            <w:tcW w:w="260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Articles of Organization of Motorsport Gaming US LLC, as currently in effect</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Operating Agreement of Motorsport Gaming US LLC, as currently in effect</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3.3</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w w:val="94"/>
              </w:rPr>
              <w:t>Form of Certificate of Incorporation of Motorsport Games Inc. (to be effective upon completion of the</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230"/>
        </w:trPr>
        <w:tc>
          <w:tcPr>
            <w:tcW w:w="980" w:type="dxa"/>
            <w:vAlign w:val="bottom"/>
          </w:tcPr>
          <w:p>
            <w:pPr>
              <w:spacing w:after="0"/>
              <w:rPr>
                <w:sz w:val="20"/>
                <w:szCs w:val="20"/>
                <w:color w:val="auto"/>
              </w:rPr>
            </w:pP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registrant’s conversion from a limited liability company to a corporation)</w:t>
            </w:r>
          </w:p>
        </w:tc>
        <w:tc>
          <w:tcPr>
            <w:tcW w:w="2600" w:type="dxa"/>
            <w:vAlign w:val="bottom"/>
          </w:tcPr>
          <w:p>
            <w:pPr>
              <w:spacing w:after="0"/>
              <w:rPr>
                <w:sz w:val="20"/>
                <w:szCs w:val="20"/>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3.4</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Form of Bylaws of Motorsport Games Inc. (to be effective upon completion of the registrant’s</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230"/>
        </w:trPr>
        <w:tc>
          <w:tcPr>
            <w:tcW w:w="980" w:type="dxa"/>
            <w:vAlign w:val="bottom"/>
          </w:tcPr>
          <w:p>
            <w:pPr>
              <w:spacing w:after="0"/>
              <w:rPr>
                <w:sz w:val="20"/>
                <w:szCs w:val="20"/>
                <w:color w:val="auto"/>
              </w:rPr>
            </w:pP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conversion from a limited liability company to a corporation)</w:t>
            </w:r>
          </w:p>
        </w:tc>
        <w:tc>
          <w:tcPr>
            <w:tcW w:w="260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Form of Class A common stock Certificate</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Services Agreement, dated January 1, 2020, by and between Motorsport Network, LLC and</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230"/>
        </w:trPr>
        <w:tc>
          <w:tcPr>
            <w:tcW w:w="980" w:type="dxa"/>
            <w:vAlign w:val="bottom"/>
          </w:tcPr>
          <w:p>
            <w:pPr>
              <w:spacing w:after="0"/>
              <w:rPr>
                <w:sz w:val="20"/>
                <w:szCs w:val="20"/>
                <w:color w:val="auto"/>
              </w:rPr>
            </w:pP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Motorsport Gaming US LLC</w:t>
            </w:r>
          </w:p>
        </w:tc>
        <w:tc>
          <w:tcPr>
            <w:tcW w:w="2600" w:type="dxa"/>
            <w:vAlign w:val="bottom"/>
          </w:tcPr>
          <w:p>
            <w:pPr>
              <w:spacing w:after="0"/>
              <w:rPr>
                <w:sz w:val="20"/>
                <w:szCs w:val="20"/>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w w:val="96"/>
              </w:rPr>
              <w:t>Exclusive Promotion Agreement, dated August 3, 2018, by and between Motorsport Network, LLC</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230"/>
        </w:trPr>
        <w:tc>
          <w:tcPr>
            <w:tcW w:w="980" w:type="dxa"/>
            <w:vAlign w:val="bottom"/>
          </w:tcPr>
          <w:p>
            <w:pPr>
              <w:spacing w:after="0"/>
              <w:rPr>
                <w:sz w:val="20"/>
                <w:szCs w:val="20"/>
                <w:color w:val="auto"/>
              </w:rPr>
            </w:pP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and Motorsport Gaming US LLC</w:t>
            </w:r>
          </w:p>
        </w:tc>
        <w:tc>
          <w:tcPr>
            <w:tcW w:w="2600" w:type="dxa"/>
            <w:vAlign w:val="bottom"/>
          </w:tcPr>
          <w:p>
            <w:pPr>
              <w:spacing w:after="0"/>
              <w:rPr>
                <w:sz w:val="20"/>
                <w:szCs w:val="20"/>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10.3</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w w:val="98"/>
              </w:rPr>
              <w:t>Promissory Note, dated April 1, 2020, by and between Motorsport Network, LLC and Motorsport</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230"/>
        </w:trPr>
        <w:tc>
          <w:tcPr>
            <w:tcW w:w="980" w:type="dxa"/>
            <w:vAlign w:val="bottom"/>
          </w:tcPr>
          <w:p>
            <w:pPr>
              <w:spacing w:after="0"/>
              <w:rPr>
                <w:sz w:val="20"/>
                <w:szCs w:val="20"/>
                <w:color w:val="auto"/>
              </w:rPr>
            </w:pP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Gaming US LLC</w:t>
            </w:r>
          </w:p>
        </w:tc>
        <w:tc>
          <w:tcPr>
            <w:tcW w:w="2600" w:type="dxa"/>
            <w:vAlign w:val="bottom"/>
          </w:tcPr>
          <w:p>
            <w:pPr>
              <w:spacing w:after="0"/>
              <w:rPr>
                <w:sz w:val="20"/>
                <w:szCs w:val="20"/>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w w:val="99"/>
              </w:rPr>
              <w:t>Stockholders’ Agreement, dated August 14, 2018, by and among Gaming Nation Inc., PlayFast</w:t>
            </w:r>
          </w:p>
        </w:tc>
        <w:tc>
          <w:tcPr>
            <w:tcW w:w="2600" w:type="dxa"/>
            <w:vAlign w:val="bottom"/>
          </w:tcPr>
          <w:p>
            <w:pPr>
              <w:spacing w:after="0"/>
              <w:rPr>
                <w:sz w:val="20"/>
                <w:szCs w:val="20"/>
                <w:color w:val="auto"/>
              </w:rPr>
            </w:pPr>
            <w:r>
              <w:rPr>
                <w:rFonts w:ascii="Arial" w:cs="Arial" w:eastAsia="Arial" w:hAnsi="Arial"/>
                <w:sz w:val="18"/>
                <w:szCs w:val="18"/>
                <w:color w:val="auto"/>
                <w:w w:val="97"/>
              </w:rPr>
              <w:t>To be filed by amendment hereto</w:t>
            </w:r>
          </w:p>
        </w:tc>
      </w:tr>
      <w:tr>
        <w:trPr>
          <w:trHeight w:val="216"/>
        </w:trPr>
        <w:tc>
          <w:tcPr>
            <w:tcW w:w="980" w:type="dxa"/>
            <w:vAlign w:val="bottom"/>
          </w:tcPr>
          <w:p>
            <w:pPr>
              <w:spacing w:after="0"/>
              <w:rPr>
                <w:sz w:val="18"/>
                <w:szCs w:val="18"/>
                <w:color w:val="auto"/>
              </w:rPr>
            </w:pP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Games, LLC, Leo Capital Holdings, LLC, HC2 Holdings 2, Inc., Continental General Insurance</w:t>
            </w:r>
          </w:p>
        </w:tc>
        <w:tc>
          <w:tcPr>
            <w:tcW w:w="26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Company, Motorsport Gaming US LLC and 704Games Company</w:t>
            </w:r>
          </w:p>
        </w:tc>
        <w:tc>
          <w:tcPr>
            <w:tcW w:w="260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7760" w:type="dxa"/>
            <w:vAlign w:val="bottom"/>
          </w:tcPr>
          <w:p>
            <w:pPr>
              <w:ind w:left="300"/>
              <w:spacing w:after="0"/>
              <w:rPr>
                <w:sz w:val="20"/>
                <w:szCs w:val="20"/>
                <w:color w:val="auto"/>
              </w:rPr>
            </w:pPr>
            <w:r>
              <w:rPr>
                <w:rFonts w:ascii="Arial" w:cs="Arial" w:eastAsia="Arial" w:hAnsi="Arial"/>
                <w:sz w:val="18"/>
                <w:szCs w:val="18"/>
                <w:color w:val="auto"/>
                <w:w w:val="99"/>
              </w:rPr>
              <w:t>Joint Venture Agreement, dated March 15, 2019, by and among Automobile Club De L’Ouest,</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Motorsport Gaming US LLC and Le Mans Esports Series Limited</w:t>
            </w:r>
          </w:p>
        </w:tc>
        <w:tc>
          <w:tcPr>
            <w:tcW w:w="246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7760" w:type="dxa"/>
            <w:vAlign w:val="bottom"/>
          </w:tcPr>
          <w:p>
            <w:pPr>
              <w:ind w:left="300"/>
              <w:spacing w:after="0"/>
              <w:rPr>
                <w:sz w:val="20"/>
                <w:szCs w:val="20"/>
                <w:color w:val="auto"/>
              </w:rPr>
            </w:pPr>
            <w:r>
              <w:rPr>
                <w:rFonts w:ascii="Arial" w:cs="Arial" w:eastAsia="Arial" w:hAnsi="Arial"/>
                <w:sz w:val="18"/>
                <w:szCs w:val="18"/>
                <w:color w:val="auto"/>
              </w:rPr>
              <w:t>Limited Liability Company Agreement of Racing Pro League, LLC, effective March 1, 2019</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7760" w:type="dxa"/>
            <w:vAlign w:val="bottom"/>
          </w:tcPr>
          <w:p>
            <w:pPr>
              <w:ind w:left="300"/>
              <w:spacing w:after="0"/>
              <w:rPr>
                <w:sz w:val="20"/>
                <w:szCs w:val="20"/>
                <w:color w:val="auto"/>
              </w:rPr>
            </w:pPr>
            <w:r>
              <w:rPr>
                <w:rFonts w:ascii="Arial" w:cs="Arial" w:eastAsia="Arial" w:hAnsi="Arial"/>
                <w:sz w:val="18"/>
                <w:szCs w:val="18"/>
                <w:color w:val="auto"/>
                <w:w w:val="95"/>
              </w:rPr>
              <w:t>License Agreement, dated February 11, 2020, by and between National Association for Stock Car</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Auto Racing, LLC and Racing Pro League, LLC, dated February 11, 2020</w:t>
            </w:r>
          </w:p>
        </w:tc>
        <w:tc>
          <w:tcPr>
            <w:tcW w:w="246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7760" w:type="dxa"/>
            <w:vAlign w:val="bottom"/>
          </w:tcPr>
          <w:p>
            <w:pPr>
              <w:ind w:left="300"/>
              <w:spacing w:after="0"/>
              <w:rPr>
                <w:sz w:val="20"/>
                <w:szCs w:val="20"/>
                <w:color w:val="auto"/>
              </w:rPr>
            </w:pPr>
            <w:r>
              <w:rPr>
                <w:rFonts w:ascii="Arial" w:cs="Arial" w:eastAsia="Arial" w:hAnsi="Arial"/>
                <w:sz w:val="18"/>
                <w:szCs w:val="18"/>
                <w:color w:val="auto"/>
                <w:w w:val="93"/>
              </w:rPr>
              <w:t>Second Amended and Restated Distribution and License Agreement, dated January 1, 2019, by and</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between 704Games Company and NASCAR Team Properties</w:t>
            </w:r>
          </w:p>
        </w:tc>
        <w:tc>
          <w:tcPr>
            <w:tcW w:w="246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10.9*</w:t>
            </w:r>
          </w:p>
        </w:tc>
        <w:tc>
          <w:tcPr>
            <w:tcW w:w="7760" w:type="dxa"/>
            <w:vAlign w:val="bottom"/>
          </w:tcPr>
          <w:p>
            <w:pPr>
              <w:ind w:left="300"/>
              <w:spacing w:after="0"/>
              <w:rPr>
                <w:sz w:val="20"/>
                <w:szCs w:val="20"/>
                <w:color w:val="auto"/>
              </w:rPr>
            </w:pPr>
            <w:r>
              <w:rPr>
                <w:rFonts w:ascii="Arial" w:cs="Arial" w:eastAsia="Arial" w:hAnsi="Arial"/>
                <w:sz w:val="18"/>
                <w:szCs w:val="18"/>
                <w:color w:val="auto"/>
                <w:w w:val="96"/>
              </w:rPr>
              <w:t>License Agreement, dated May 29, 2020, by and between BARC (TOCA) Limited and Motorsport</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Gaming US LLC</w:t>
            </w:r>
          </w:p>
        </w:tc>
        <w:tc>
          <w:tcPr>
            <w:tcW w:w="246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7760" w:type="dxa"/>
            <w:vAlign w:val="bottom"/>
          </w:tcPr>
          <w:p>
            <w:pPr>
              <w:ind w:left="300"/>
              <w:spacing w:after="0"/>
              <w:rPr>
                <w:sz w:val="20"/>
                <w:szCs w:val="20"/>
                <w:color w:val="auto"/>
              </w:rPr>
            </w:pPr>
            <w:r>
              <w:rPr>
                <w:rFonts w:ascii="Arial" w:cs="Arial" w:eastAsia="Arial" w:hAnsi="Arial"/>
                <w:sz w:val="18"/>
                <w:szCs w:val="18"/>
                <w:color w:val="auto"/>
              </w:rPr>
              <w:t>Distribution Agreement, dated April 18, 2016, by and between U&amp;I Entertainment, LLC and</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704Games Company LLC</w:t>
            </w:r>
          </w:p>
        </w:tc>
        <w:tc>
          <w:tcPr>
            <w:tcW w:w="246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7760" w:type="dxa"/>
            <w:vAlign w:val="bottom"/>
          </w:tcPr>
          <w:p>
            <w:pPr>
              <w:ind w:left="300"/>
              <w:spacing w:after="0"/>
              <w:rPr>
                <w:sz w:val="20"/>
                <w:szCs w:val="20"/>
                <w:color w:val="auto"/>
              </w:rPr>
            </w:pPr>
            <w:r>
              <w:rPr>
                <w:rFonts w:ascii="Arial" w:cs="Arial" w:eastAsia="Arial" w:hAnsi="Arial"/>
                <w:sz w:val="18"/>
                <w:szCs w:val="18"/>
                <w:color w:val="auto"/>
                <w:w w:val="95"/>
              </w:rPr>
              <w:t>Employment Agreement, dated January 1, 2020, by and between Motorsport Gaming US LLC and</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Dmitry Kozko</w:t>
            </w:r>
          </w:p>
        </w:tc>
        <w:tc>
          <w:tcPr>
            <w:tcW w:w="246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7760" w:type="dxa"/>
            <w:vAlign w:val="bottom"/>
          </w:tcPr>
          <w:p>
            <w:pPr>
              <w:ind w:left="300"/>
              <w:spacing w:after="0"/>
              <w:rPr>
                <w:sz w:val="20"/>
                <w:szCs w:val="20"/>
                <w:color w:val="auto"/>
              </w:rPr>
            </w:pPr>
            <w:r>
              <w:rPr>
                <w:rFonts w:ascii="Arial" w:cs="Arial" w:eastAsia="Arial" w:hAnsi="Arial"/>
                <w:sz w:val="18"/>
                <w:szCs w:val="18"/>
                <w:color w:val="auto"/>
              </w:rPr>
              <w:t>Form of Offer Letter, by and between Motorsport Gaming US LLC and Jonathan New</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7760" w:type="dxa"/>
            <w:vAlign w:val="bottom"/>
          </w:tcPr>
          <w:p>
            <w:pPr>
              <w:ind w:left="300"/>
              <w:spacing w:after="0"/>
              <w:rPr>
                <w:sz w:val="20"/>
                <w:szCs w:val="20"/>
                <w:color w:val="auto"/>
              </w:rPr>
            </w:pPr>
            <w:r>
              <w:rPr>
                <w:rFonts w:ascii="Arial" w:cs="Arial" w:eastAsia="Arial" w:hAnsi="Arial"/>
                <w:sz w:val="18"/>
                <w:szCs w:val="18"/>
                <w:color w:val="auto"/>
              </w:rPr>
              <w:t>Form of Offer Letter, by and between Motorsport Gaming US LLC and Stephen Hood</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7760" w:type="dxa"/>
            <w:vAlign w:val="bottom"/>
          </w:tcPr>
          <w:p>
            <w:pPr>
              <w:ind w:left="300"/>
              <w:spacing w:after="0"/>
              <w:rPr>
                <w:sz w:val="20"/>
                <w:szCs w:val="20"/>
                <w:color w:val="auto"/>
              </w:rPr>
            </w:pPr>
            <w:r>
              <w:rPr>
                <w:rFonts w:ascii="Arial" w:cs="Arial" w:eastAsia="Arial" w:hAnsi="Arial"/>
                <w:sz w:val="18"/>
                <w:szCs w:val="18"/>
                <w:color w:val="auto"/>
                <w:w w:val="93"/>
              </w:rPr>
              <w:t>Promotional Services Agreement, dated July 20, 2020, by and between Motorsport Gaming US LLC</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and Fernando Alonso Diaz</w:t>
            </w:r>
          </w:p>
        </w:tc>
        <w:tc>
          <w:tcPr>
            <w:tcW w:w="246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7760" w:type="dxa"/>
            <w:vAlign w:val="bottom"/>
          </w:tcPr>
          <w:p>
            <w:pPr>
              <w:ind w:left="300"/>
              <w:spacing w:after="0"/>
              <w:rPr>
                <w:sz w:val="20"/>
                <w:szCs w:val="20"/>
                <w:color w:val="auto"/>
              </w:rPr>
            </w:pPr>
            <w:r>
              <w:rPr>
                <w:rFonts w:ascii="Arial" w:cs="Arial" w:eastAsia="Arial" w:hAnsi="Arial"/>
                <w:sz w:val="18"/>
                <w:szCs w:val="18"/>
                <w:color w:val="auto"/>
              </w:rPr>
              <w:t>Form of Motorsport Games Inc. 2020 Equity Incentive Plan</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7760" w:type="dxa"/>
            <w:vAlign w:val="bottom"/>
          </w:tcPr>
          <w:p>
            <w:pPr>
              <w:ind w:left="300"/>
              <w:spacing w:after="0"/>
              <w:rPr>
                <w:sz w:val="20"/>
                <w:szCs w:val="20"/>
                <w:color w:val="auto"/>
              </w:rPr>
            </w:pPr>
            <w:r>
              <w:rPr>
                <w:rFonts w:ascii="Arial" w:cs="Arial" w:eastAsia="Arial" w:hAnsi="Arial"/>
                <w:sz w:val="18"/>
                <w:szCs w:val="18"/>
                <w:color w:val="auto"/>
                <w:w w:val="96"/>
              </w:rPr>
              <w:t>Form of Incentive Stock Option Award Agreement Under the Motorsport Games Inc. 2020 Equity</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Incentive Plan</w:t>
            </w:r>
          </w:p>
        </w:tc>
        <w:tc>
          <w:tcPr>
            <w:tcW w:w="246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10.17+</w:t>
            </w:r>
          </w:p>
        </w:tc>
        <w:tc>
          <w:tcPr>
            <w:tcW w:w="7760" w:type="dxa"/>
            <w:vAlign w:val="bottom"/>
          </w:tcPr>
          <w:p>
            <w:pPr>
              <w:ind w:left="300"/>
              <w:spacing w:after="0"/>
              <w:rPr>
                <w:sz w:val="20"/>
                <w:szCs w:val="20"/>
                <w:color w:val="auto"/>
              </w:rPr>
            </w:pPr>
            <w:r>
              <w:rPr>
                <w:rFonts w:ascii="Arial" w:cs="Arial" w:eastAsia="Arial" w:hAnsi="Arial"/>
                <w:sz w:val="18"/>
                <w:szCs w:val="18"/>
                <w:color w:val="auto"/>
                <w:w w:val="93"/>
              </w:rPr>
              <w:t>Form of Restricted Stock Award Agreement Under the Motorsport Games Inc. 2020 Equity Incentive</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Plan</w:t>
            </w:r>
          </w:p>
        </w:tc>
        <w:tc>
          <w:tcPr>
            <w:tcW w:w="246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7760" w:type="dxa"/>
            <w:vAlign w:val="bottom"/>
          </w:tcPr>
          <w:p>
            <w:pPr>
              <w:ind w:left="300"/>
              <w:spacing w:after="0"/>
              <w:rPr>
                <w:sz w:val="20"/>
                <w:szCs w:val="20"/>
                <w:color w:val="auto"/>
              </w:rPr>
            </w:pPr>
            <w:r>
              <w:rPr>
                <w:rFonts w:ascii="Arial" w:cs="Arial" w:eastAsia="Arial" w:hAnsi="Arial"/>
                <w:sz w:val="18"/>
                <w:szCs w:val="18"/>
                <w:color w:val="auto"/>
                <w:w w:val="92"/>
              </w:rPr>
              <w:t>Grant of the Right of First Refusal, dated May 19, 2020, by and between Motorsport Gaming US LLC</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and Luminis International B.V.</w:t>
            </w:r>
          </w:p>
        </w:tc>
        <w:tc>
          <w:tcPr>
            <w:tcW w:w="246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10.19*</w:t>
            </w:r>
          </w:p>
        </w:tc>
        <w:tc>
          <w:tcPr>
            <w:tcW w:w="7760" w:type="dxa"/>
            <w:vAlign w:val="bottom"/>
          </w:tcPr>
          <w:p>
            <w:pPr>
              <w:ind w:left="300"/>
              <w:spacing w:after="0"/>
              <w:rPr>
                <w:sz w:val="20"/>
                <w:szCs w:val="20"/>
                <w:color w:val="auto"/>
              </w:rPr>
            </w:pPr>
            <w:r>
              <w:rPr>
                <w:rFonts w:ascii="Arial" w:cs="Arial" w:eastAsia="Arial" w:hAnsi="Arial"/>
                <w:sz w:val="18"/>
                <w:szCs w:val="18"/>
                <w:color w:val="auto"/>
                <w:w w:val="96"/>
              </w:rPr>
              <w:t>Software Development and License Agreement, dated May 19, 2020, by and between Motorsport</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Gaming US LLC and Studio397 B.V.</w:t>
            </w:r>
          </w:p>
        </w:tc>
        <w:tc>
          <w:tcPr>
            <w:tcW w:w="246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10.20*</w:t>
            </w:r>
          </w:p>
        </w:tc>
        <w:tc>
          <w:tcPr>
            <w:tcW w:w="7760" w:type="dxa"/>
            <w:vAlign w:val="bottom"/>
          </w:tcPr>
          <w:p>
            <w:pPr>
              <w:ind w:left="300"/>
              <w:spacing w:after="0"/>
              <w:rPr>
                <w:sz w:val="20"/>
                <w:szCs w:val="20"/>
                <w:color w:val="auto"/>
              </w:rPr>
            </w:pPr>
            <w:r>
              <w:rPr>
                <w:rFonts w:ascii="Arial" w:cs="Arial" w:eastAsia="Arial" w:hAnsi="Arial"/>
                <w:sz w:val="18"/>
                <w:szCs w:val="18"/>
                <w:color w:val="auto"/>
                <w:w w:val="91"/>
              </w:rPr>
              <w:t>License Agreement, dated August 11, 2020, by and between Epic Games International S.à.r.l. and MS</w:t>
            </w:r>
          </w:p>
        </w:tc>
        <w:tc>
          <w:tcPr>
            <w:tcW w:w="2460" w:type="dxa"/>
            <w:vAlign w:val="bottom"/>
          </w:tcPr>
          <w:p>
            <w:pPr>
              <w:ind w:left="8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Gaming Development LLC</w:t>
            </w:r>
          </w:p>
        </w:tc>
        <w:tc>
          <w:tcPr>
            <w:tcW w:w="246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692" w:right="5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10.21</w:t>
            </w:r>
          </w:p>
        </w:tc>
        <w:tc>
          <w:tcPr>
            <w:tcW w:w="7720" w:type="dxa"/>
            <w:vAlign w:val="bottom"/>
          </w:tcPr>
          <w:p>
            <w:pPr>
              <w:ind w:left="300"/>
              <w:spacing w:after="0"/>
              <w:rPr>
                <w:sz w:val="20"/>
                <w:szCs w:val="20"/>
                <w:color w:val="auto"/>
              </w:rPr>
            </w:pPr>
            <w:r>
              <w:rPr>
                <w:rFonts w:ascii="Arial" w:cs="Arial" w:eastAsia="Arial" w:hAnsi="Arial"/>
                <w:sz w:val="18"/>
                <w:szCs w:val="18"/>
                <w:color w:val="auto"/>
                <w:w w:val="93"/>
              </w:rPr>
              <w:t>Xbox Console Publisher License Agreement, by and between Microsoft Corporation and 704Games</w:t>
            </w:r>
          </w:p>
        </w:tc>
        <w:tc>
          <w:tcPr>
            <w:tcW w:w="2500" w:type="dxa"/>
            <w:vAlign w:val="bottom"/>
          </w:tcPr>
          <w:p>
            <w:pPr>
              <w:ind w:left="12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Company</w:t>
            </w:r>
          </w:p>
        </w:tc>
        <w:tc>
          <w:tcPr>
            <w:tcW w:w="250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10.22</w:t>
            </w:r>
          </w:p>
        </w:tc>
        <w:tc>
          <w:tcPr>
            <w:tcW w:w="7720" w:type="dxa"/>
            <w:vAlign w:val="bottom"/>
          </w:tcPr>
          <w:p>
            <w:pPr>
              <w:ind w:left="300"/>
              <w:spacing w:after="0"/>
              <w:rPr>
                <w:sz w:val="20"/>
                <w:szCs w:val="20"/>
                <w:color w:val="auto"/>
              </w:rPr>
            </w:pPr>
            <w:r>
              <w:rPr>
                <w:rFonts w:ascii="Arial" w:cs="Arial" w:eastAsia="Arial" w:hAnsi="Arial"/>
                <w:sz w:val="18"/>
                <w:szCs w:val="18"/>
                <w:color w:val="auto"/>
              </w:rPr>
              <w:t>PlayStation Global Developer and Publisher Agreement, by and among Sony Computer</w:t>
            </w:r>
          </w:p>
        </w:tc>
        <w:tc>
          <w:tcPr>
            <w:tcW w:w="2500" w:type="dxa"/>
            <w:vAlign w:val="bottom"/>
          </w:tcPr>
          <w:p>
            <w:pPr>
              <w:ind w:left="120"/>
              <w:spacing w:after="0"/>
              <w:rPr>
                <w:sz w:val="20"/>
                <w:szCs w:val="20"/>
                <w:color w:val="auto"/>
              </w:rPr>
            </w:pPr>
            <w:r>
              <w:rPr>
                <w:rFonts w:ascii="Arial" w:cs="Arial" w:eastAsia="Arial" w:hAnsi="Arial"/>
                <w:sz w:val="18"/>
                <w:szCs w:val="18"/>
                <w:color w:val="auto"/>
                <w:w w:val="89"/>
              </w:rPr>
              <w:t>To be filed by amendment hereto</w:t>
            </w:r>
          </w:p>
        </w:tc>
      </w:tr>
      <w:tr>
        <w:trPr>
          <w:trHeight w:val="216"/>
        </w:trPr>
        <w:tc>
          <w:tcPr>
            <w:tcW w:w="800" w:type="dxa"/>
            <w:vAlign w:val="bottom"/>
          </w:tcPr>
          <w:p>
            <w:pPr>
              <w:spacing w:after="0"/>
              <w:rPr>
                <w:sz w:val="18"/>
                <w:szCs w:val="18"/>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w w:val="96"/>
              </w:rPr>
              <w:t>Entertainment, Inc., Sony Computer Entertainment America LLC, Sony Computer Entertainment</w:t>
            </w:r>
          </w:p>
        </w:tc>
        <w:tc>
          <w:tcPr>
            <w:tcW w:w="25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Europe Ltd. and 704Games Company</w:t>
            </w:r>
          </w:p>
        </w:tc>
        <w:tc>
          <w:tcPr>
            <w:tcW w:w="250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10.23</w:t>
            </w:r>
          </w:p>
        </w:tc>
        <w:tc>
          <w:tcPr>
            <w:tcW w:w="7720" w:type="dxa"/>
            <w:vAlign w:val="bottom"/>
          </w:tcPr>
          <w:p>
            <w:pPr>
              <w:ind w:left="300"/>
              <w:spacing w:after="0"/>
              <w:rPr>
                <w:sz w:val="20"/>
                <w:szCs w:val="20"/>
                <w:color w:val="auto"/>
              </w:rPr>
            </w:pPr>
            <w:r>
              <w:rPr>
                <w:rFonts w:ascii="Arial" w:cs="Arial" w:eastAsia="Arial" w:hAnsi="Arial"/>
                <w:sz w:val="18"/>
                <w:szCs w:val="18"/>
                <w:color w:val="auto"/>
                <w:w w:val="91"/>
              </w:rPr>
              <w:t>Stock Purchase Agreement, dated August 18, 2020, by and among HC2 Holdings 2, Inc., Continental</w:t>
            </w:r>
          </w:p>
        </w:tc>
        <w:tc>
          <w:tcPr>
            <w:tcW w:w="2500" w:type="dxa"/>
            <w:vAlign w:val="bottom"/>
          </w:tcPr>
          <w:p>
            <w:pPr>
              <w:ind w:left="12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General Insurance Company and Motorsport Gaming US LLC</w:t>
            </w:r>
          </w:p>
        </w:tc>
        <w:tc>
          <w:tcPr>
            <w:tcW w:w="25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10.24+</w:t>
            </w:r>
          </w:p>
        </w:tc>
        <w:tc>
          <w:tcPr>
            <w:tcW w:w="7720" w:type="dxa"/>
            <w:vAlign w:val="bottom"/>
          </w:tcPr>
          <w:p>
            <w:pPr>
              <w:ind w:left="300"/>
              <w:spacing w:after="0"/>
              <w:rPr>
                <w:sz w:val="20"/>
                <w:szCs w:val="20"/>
                <w:color w:val="auto"/>
              </w:rPr>
            </w:pPr>
            <w:r>
              <w:rPr>
                <w:rFonts w:ascii="Arial" w:cs="Arial" w:eastAsia="Arial" w:hAnsi="Arial"/>
                <w:sz w:val="18"/>
                <w:szCs w:val="18"/>
                <w:color w:val="auto"/>
              </w:rPr>
              <w:t>Form of Stock Option Award Agreement to Dmitry Kozko</w:t>
            </w:r>
          </w:p>
        </w:tc>
        <w:tc>
          <w:tcPr>
            <w:tcW w:w="2500" w:type="dxa"/>
            <w:vAlign w:val="bottom"/>
          </w:tcPr>
          <w:p>
            <w:pPr>
              <w:ind w:left="120"/>
              <w:spacing w:after="0"/>
              <w:rPr>
                <w:sz w:val="20"/>
                <w:szCs w:val="20"/>
                <w:color w:val="auto"/>
              </w:rPr>
            </w:pPr>
            <w:r>
              <w:rPr>
                <w:rFonts w:ascii="Arial" w:cs="Arial" w:eastAsia="Arial" w:hAnsi="Arial"/>
                <w:sz w:val="18"/>
                <w:szCs w:val="18"/>
                <w:color w:val="auto"/>
                <w:w w:val="89"/>
              </w:rPr>
              <w:t>To be filed by amendment hereto</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10.25</w:t>
            </w:r>
          </w:p>
        </w:tc>
        <w:tc>
          <w:tcPr>
            <w:tcW w:w="7720" w:type="dxa"/>
            <w:vAlign w:val="bottom"/>
          </w:tcPr>
          <w:p>
            <w:pPr>
              <w:ind w:left="300"/>
              <w:spacing w:after="0"/>
              <w:rPr>
                <w:sz w:val="20"/>
                <w:szCs w:val="20"/>
                <w:color w:val="auto"/>
              </w:rPr>
            </w:pPr>
            <w:r>
              <w:rPr>
                <w:rFonts w:ascii="Arial" w:cs="Arial" w:eastAsia="Arial" w:hAnsi="Arial"/>
                <w:sz w:val="18"/>
                <w:szCs w:val="18"/>
                <w:color w:val="auto"/>
                <w:w w:val="96"/>
              </w:rPr>
              <w:t>Lease Agreement, dated May 15, 2020, by and between Lemon City Group, LLC and 704Games</w:t>
            </w:r>
          </w:p>
        </w:tc>
        <w:tc>
          <w:tcPr>
            <w:tcW w:w="2500" w:type="dxa"/>
            <w:vAlign w:val="bottom"/>
          </w:tcPr>
          <w:p>
            <w:pPr>
              <w:ind w:left="12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Company</w:t>
            </w:r>
          </w:p>
        </w:tc>
        <w:tc>
          <w:tcPr>
            <w:tcW w:w="250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10.26</w:t>
            </w:r>
          </w:p>
        </w:tc>
        <w:tc>
          <w:tcPr>
            <w:tcW w:w="7720" w:type="dxa"/>
            <w:vAlign w:val="bottom"/>
          </w:tcPr>
          <w:p>
            <w:pPr>
              <w:ind w:left="300"/>
              <w:spacing w:after="0"/>
              <w:rPr>
                <w:sz w:val="20"/>
                <w:szCs w:val="20"/>
                <w:color w:val="auto"/>
              </w:rPr>
            </w:pPr>
            <w:r>
              <w:rPr>
                <w:rFonts w:ascii="Arial" w:cs="Arial" w:eastAsia="Arial" w:hAnsi="Arial"/>
                <w:sz w:val="18"/>
                <w:szCs w:val="18"/>
                <w:color w:val="auto"/>
                <w:w w:val="98"/>
              </w:rPr>
              <w:t>Side Letter Agreement relating to Promissory Note, dated September 4, 2020, by and between</w:t>
            </w:r>
          </w:p>
        </w:tc>
        <w:tc>
          <w:tcPr>
            <w:tcW w:w="2500" w:type="dxa"/>
            <w:vAlign w:val="bottom"/>
          </w:tcPr>
          <w:p>
            <w:pPr>
              <w:ind w:left="120"/>
              <w:spacing w:after="0"/>
              <w:rPr>
                <w:sz w:val="20"/>
                <w:szCs w:val="20"/>
                <w:color w:val="auto"/>
              </w:rPr>
            </w:pPr>
            <w:r>
              <w:rPr>
                <w:rFonts w:ascii="Arial" w:cs="Arial" w:eastAsia="Arial" w:hAnsi="Arial"/>
                <w:sz w:val="18"/>
                <w:szCs w:val="18"/>
                <w:color w:val="auto"/>
                <w:w w:val="89"/>
              </w:rPr>
              <w:t>To be filed by amendment hereto</w:t>
            </w:r>
          </w:p>
        </w:tc>
      </w:tr>
      <w:tr>
        <w:trPr>
          <w:trHeight w:val="230"/>
        </w:trPr>
        <w:tc>
          <w:tcPr>
            <w:tcW w:w="80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Motorsport Network, LLC and Motorsport Gaming US LLC</w:t>
            </w:r>
          </w:p>
        </w:tc>
        <w:tc>
          <w:tcPr>
            <w:tcW w:w="25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5.1</w:t>
            </w:r>
          </w:p>
        </w:tc>
        <w:tc>
          <w:tcPr>
            <w:tcW w:w="7720" w:type="dxa"/>
            <w:vAlign w:val="bottom"/>
          </w:tcPr>
          <w:p>
            <w:pPr>
              <w:ind w:left="300"/>
              <w:spacing w:after="0"/>
              <w:rPr>
                <w:sz w:val="20"/>
                <w:szCs w:val="20"/>
                <w:color w:val="auto"/>
              </w:rPr>
            </w:pPr>
            <w:r>
              <w:rPr>
                <w:rFonts w:ascii="Arial" w:cs="Arial" w:eastAsia="Arial" w:hAnsi="Arial"/>
                <w:sz w:val="18"/>
                <w:szCs w:val="18"/>
                <w:color w:val="auto"/>
              </w:rPr>
              <w:t>Opinion of Snell &amp; Wilmer L.L.P.</w:t>
            </w:r>
          </w:p>
        </w:tc>
        <w:tc>
          <w:tcPr>
            <w:tcW w:w="2500" w:type="dxa"/>
            <w:vAlign w:val="bottom"/>
          </w:tcPr>
          <w:p>
            <w:pPr>
              <w:ind w:left="120"/>
              <w:spacing w:after="0"/>
              <w:rPr>
                <w:sz w:val="20"/>
                <w:szCs w:val="20"/>
                <w:color w:val="auto"/>
              </w:rPr>
            </w:pPr>
            <w:r>
              <w:rPr>
                <w:rFonts w:ascii="Arial" w:cs="Arial" w:eastAsia="Arial" w:hAnsi="Arial"/>
                <w:sz w:val="18"/>
                <w:szCs w:val="18"/>
                <w:color w:val="auto"/>
                <w:w w:val="89"/>
              </w:rPr>
              <w:t>To be filed by amendment hereto</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772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c>
          <w:tcPr>
            <w:tcW w:w="2500" w:type="dxa"/>
            <w:vAlign w:val="bottom"/>
          </w:tcPr>
          <w:p>
            <w:pPr>
              <w:ind w:left="120"/>
              <w:spacing w:after="0"/>
              <w:rPr>
                <w:sz w:val="20"/>
                <w:szCs w:val="20"/>
                <w:color w:val="auto"/>
              </w:rPr>
            </w:pPr>
            <w:r>
              <w:rPr>
                <w:rFonts w:ascii="Arial" w:cs="Arial" w:eastAsia="Arial" w:hAnsi="Arial"/>
                <w:sz w:val="18"/>
                <w:szCs w:val="18"/>
                <w:color w:val="auto"/>
                <w:w w:val="89"/>
              </w:rPr>
              <w:t>To be filed by amendment hereto</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7720" w:type="dxa"/>
            <w:vAlign w:val="bottom"/>
          </w:tcPr>
          <w:p>
            <w:pPr>
              <w:ind w:left="300"/>
              <w:spacing w:after="0"/>
              <w:rPr>
                <w:sz w:val="20"/>
                <w:szCs w:val="20"/>
                <w:color w:val="auto"/>
              </w:rPr>
            </w:pPr>
            <w:r>
              <w:rPr>
                <w:rFonts w:ascii="Arial" w:cs="Arial" w:eastAsia="Arial" w:hAnsi="Arial"/>
                <w:sz w:val="18"/>
                <w:szCs w:val="18"/>
                <w:color w:val="auto"/>
              </w:rPr>
              <w:t>Consent of Dixon Hughes Goodman LLP, Independent Registered Public Accounting Firm</w:t>
            </w:r>
          </w:p>
        </w:tc>
        <w:tc>
          <w:tcPr>
            <w:tcW w:w="2500" w:type="dxa"/>
            <w:vAlign w:val="bottom"/>
          </w:tcPr>
          <w:p>
            <w:pPr>
              <w:ind w:left="120"/>
              <w:spacing w:after="0"/>
              <w:rPr>
                <w:sz w:val="20"/>
                <w:szCs w:val="20"/>
                <w:color w:val="auto"/>
              </w:rPr>
            </w:pPr>
            <w:r>
              <w:rPr>
                <w:rFonts w:ascii="Arial" w:cs="Arial" w:eastAsia="Arial" w:hAnsi="Arial"/>
                <w:sz w:val="18"/>
                <w:szCs w:val="18"/>
                <w:color w:val="auto"/>
                <w:w w:val="89"/>
              </w:rPr>
              <w:t>To be filed by amendment hereto</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7720" w:type="dxa"/>
            <w:vAlign w:val="bottom"/>
          </w:tcPr>
          <w:p>
            <w:pPr>
              <w:ind w:left="300"/>
              <w:spacing w:after="0"/>
              <w:rPr>
                <w:sz w:val="20"/>
                <w:szCs w:val="20"/>
                <w:color w:val="auto"/>
              </w:rPr>
            </w:pPr>
            <w:r>
              <w:rPr>
                <w:rFonts w:ascii="Arial" w:cs="Arial" w:eastAsia="Arial" w:hAnsi="Arial"/>
                <w:sz w:val="18"/>
                <w:szCs w:val="18"/>
                <w:color w:val="auto"/>
              </w:rPr>
              <w:t>Consent of Snell &amp; Wilmer L.L.P.</w:t>
            </w:r>
          </w:p>
        </w:tc>
        <w:tc>
          <w:tcPr>
            <w:tcW w:w="2500" w:type="dxa"/>
            <w:vAlign w:val="bottom"/>
          </w:tcPr>
          <w:p>
            <w:pPr>
              <w:ind w:left="120"/>
              <w:spacing w:after="0"/>
              <w:rPr>
                <w:sz w:val="20"/>
                <w:szCs w:val="20"/>
                <w:color w:val="auto"/>
              </w:rPr>
            </w:pPr>
            <w:r>
              <w:rPr>
                <w:rFonts w:ascii="Arial" w:cs="Arial" w:eastAsia="Arial" w:hAnsi="Arial"/>
                <w:sz w:val="18"/>
                <w:szCs w:val="18"/>
                <w:color w:val="auto"/>
              </w:rPr>
              <w:t>Contained in Exhibit 5.1</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7720" w:type="dxa"/>
            <w:vAlign w:val="bottom"/>
          </w:tcPr>
          <w:p>
            <w:pPr>
              <w:ind w:left="30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Powers of Attorney</w:t>
              </w:r>
            </w:hyperlink>
          </w:p>
        </w:tc>
        <w:tc>
          <w:tcPr>
            <w:tcW w:w="2500" w:type="dxa"/>
            <w:vAlign w:val="bottom"/>
          </w:tcPr>
          <w:p>
            <w:pPr>
              <w:ind w:left="120"/>
              <w:spacing w:after="0"/>
              <w:rPr>
                <w:sz w:val="20"/>
                <w:szCs w:val="20"/>
                <w:color w:val="auto"/>
              </w:rPr>
            </w:pPr>
            <w:r>
              <w:rPr>
                <w:rFonts w:ascii="Arial" w:cs="Arial" w:eastAsia="Arial" w:hAnsi="Arial"/>
                <w:sz w:val="18"/>
                <w:szCs w:val="18"/>
                <w:color w:val="auto"/>
              </w:rPr>
              <w:t>See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would likely cause competitive harm if publicly disclosed.</w:t>
      </w:r>
    </w:p>
    <w:p>
      <w:pPr>
        <w:spacing w:after="0" w:line="170"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firstLine="656"/>
        <w:spacing w:after="0" w:line="286" w:lineRule="auto"/>
        <w:tabs>
          <w:tab w:leader="none" w:pos="917"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firstLine="656"/>
        <w:spacing w:after="0" w:line="263" w:lineRule="auto"/>
        <w:tabs>
          <w:tab w:leader="none" w:pos="9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w w:val="95"/>
              </w:rPr>
              <w:t>the undersigned, thereunto duly authorized, in the City of Miami, State of Florida, on</w:t>
            </w:r>
          </w:p>
        </w:tc>
        <w:tc>
          <w:tcPr>
            <w:tcW w:w="74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8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MOTORSPORT GAMING US LLC</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Dmitry Kozko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Dmitry Kozko and</w:t>
      </w:r>
      <w:r>
        <w:rPr>
          <w:rFonts w:ascii="Arial" w:cs="Arial" w:eastAsia="Arial" w:hAnsi="Arial"/>
          <w:sz w:val="17"/>
          <w:szCs w:val="17"/>
          <w:b w:val="1"/>
          <w:bCs w:val="1"/>
          <w:color w:val="auto"/>
        </w:rPr>
        <w:t xml:space="preserve"> </w:t>
      </w:r>
      <w:r>
        <w:rPr>
          <w:rFonts w:ascii="Arial" w:cs="Arial" w:eastAsia="Arial" w:hAnsi="Arial"/>
          <w:sz w:val="17"/>
          <w:szCs w:val="17"/>
          <w:color w:val="auto"/>
        </w:rPr>
        <w:t>Jonathan New, and each one of them, as his or her true and lawful attorneys-in-fact and agents, with full power of substitution and resubstitution, for him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21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Date</w:t>
            </w:r>
          </w:p>
        </w:tc>
      </w:tr>
      <w:tr>
        <w:trPr>
          <w:trHeight w:val="439"/>
        </w:trPr>
        <w:tc>
          <w:tcPr>
            <w:tcW w:w="3500" w:type="dxa"/>
            <w:vAlign w:val="bottom"/>
            <w:gridSpan w:val="2"/>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 and Executive Chairman</w:t>
            </w:r>
          </w:p>
        </w:tc>
        <w:tc>
          <w:tcPr>
            <w:tcW w:w="2140" w:type="dxa"/>
            <w:vAlign w:val="bottom"/>
          </w:tcPr>
          <w:p>
            <w:pPr>
              <w:jc w:val="right"/>
              <w:ind w:right="530"/>
              <w:spacing w:after="0"/>
              <w:rPr>
                <w:sz w:val="20"/>
                <w:szCs w:val="20"/>
                <w:color w:val="auto"/>
              </w:rPr>
            </w:pPr>
            <w:r>
              <w:rPr>
                <w:rFonts w:ascii="Arial" w:cs="Arial" w:eastAsia="Arial" w:hAnsi="Arial"/>
                <w:sz w:val="18"/>
                <w:szCs w:val="18"/>
                <w:color w:val="auto"/>
              </w:rPr>
              <w:t>, 2020</w:t>
            </w:r>
          </w:p>
        </w:tc>
      </w:tr>
      <w:tr>
        <w:trPr>
          <w:trHeight w:val="230"/>
        </w:trPr>
        <w:tc>
          <w:tcPr>
            <w:tcW w:w="58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Dmitry Kozko</w:t>
            </w:r>
          </w:p>
        </w:tc>
        <w:tc>
          <w:tcPr>
            <w:tcW w:w="2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140" w:type="dxa"/>
            <w:vAlign w:val="bottom"/>
          </w:tcPr>
          <w:p>
            <w:pPr>
              <w:spacing w:after="0"/>
              <w:rPr>
                <w:sz w:val="20"/>
                <w:szCs w:val="20"/>
                <w:color w:val="auto"/>
              </w:rPr>
            </w:pPr>
          </w:p>
        </w:tc>
      </w:tr>
      <w:tr>
        <w:trPr>
          <w:trHeight w:val="425"/>
        </w:trPr>
        <w:tc>
          <w:tcPr>
            <w:tcW w:w="3500" w:type="dxa"/>
            <w:vAlign w:val="bottom"/>
            <w:gridSpan w:val="2"/>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Financial Officer and Director</w:t>
            </w:r>
          </w:p>
        </w:tc>
        <w:tc>
          <w:tcPr>
            <w:tcW w:w="2140" w:type="dxa"/>
            <w:vAlign w:val="bottom"/>
          </w:tcPr>
          <w:p>
            <w:pPr>
              <w:jc w:val="right"/>
              <w:ind w:right="550"/>
              <w:spacing w:after="0"/>
              <w:rPr>
                <w:sz w:val="20"/>
                <w:szCs w:val="20"/>
                <w:color w:val="auto"/>
              </w:rPr>
            </w:pPr>
            <w:r>
              <w:rPr>
                <w:rFonts w:ascii="Arial" w:cs="Arial" w:eastAsia="Arial" w:hAnsi="Arial"/>
                <w:sz w:val="18"/>
                <w:szCs w:val="18"/>
                <w:color w:val="auto"/>
              </w:rPr>
              <w:t>, 2020</w:t>
            </w:r>
          </w:p>
        </w:tc>
      </w:tr>
      <w:tr>
        <w:trPr>
          <w:trHeight w:val="230"/>
        </w:trPr>
        <w:tc>
          <w:tcPr>
            <w:tcW w:w="58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Jonathan New</w:t>
            </w:r>
          </w:p>
        </w:tc>
        <w:tc>
          <w:tcPr>
            <w:tcW w:w="2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140" w:type="dxa"/>
            <w:vAlign w:val="bottom"/>
          </w:tcPr>
          <w:p>
            <w:pPr>
              <w:spacing w:after="0"/>
              <w:rPr>
                <w:sz w:val="20"/>
                <w:szCs w:val="20"/>
                <w:color w:val="auto"/>
              </w:rPr>
            </w:pPr>
          </w:p>
        </w:tc>
      </w:tr>
      <w:tr>
        <w:trPr>
          <w:trHeight w:val="425"/>
        </w:trPr>
        <w:tc>
          <w:tcPr>
            <w:tcW w:w="3500" w:type="dxa"/>
            <w:vAlign w:val="bottom"/>
            <w:gridSpan w:val="2"/>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50"/>
              <w:spacing w:after="0"/>
              <w:rPr>
                <w:sz w:val="20"/>
                <w:szCs w:val="20"/>
                <w:color w:val="auto"/>
              </w:rPr>
            </w:pPr>
            <w:r>
              <w:rPr>
                <w:rFonts w:ascii="Arial" w:cs="Arial" w:eastAsia="Arial" w:hAnsi="Arial"/>
                <w:sz w:val="18"/>
                <w:szCs w:val="18"/>
                <w:color w:val="auto"/>
              </w:rPr>
              <w:t>, 2020</w:t>
            </w:r>
          </w:p>
        </w:tc>
      </w:tr>
      <w:tr>
        <w:trPr>
          <w:trHeight w:val="230"/>
        </w:trPr>
        <w:tc>
          <w:tcPr>
            <w:tcW w:w="58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Neil Anderson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5"/>
        </w:trPr>
        <w:tc>
          <w:tcPr>
            <w:tcW w:w="3500" w:type="dxa"/>
            <w:vAlign w:val="bottom"/>
            <w:gridSpan w:val="2"/>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50"/>
              <w:spacing w:after="0"/>
              <w:rPr>
                <w:sz w:val="20"/>
                <w:szCs w:val="20"/>
                <w:color w:val="auto"/>
              </w:rPr>
            </w:pPr>
            <w:r>
              <w:rPr>
                <w:rFonts w:ascii="Arial" w:cs="Arial" w:eastAsia="Arial" w:hAnsi="Arial"/>
                <w:sz w:val="18"/>
                <w:szCs w:val="18"/>
                <w:color w:val="auto"/>
              </w:rPr>
              <w:t>, 2020</w:t>
            </w:r>
          </w:p>
        </w:tc>
      </w:tr>
      <w:tr>
        <w:trPr>
          <w:trHeight w:val="230"/>
        </w:trPr>
        <w:tc>
          <w:tcPr>
            <w:tcW w:w="58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Francesco Piovanetti</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50"/>
              <w:spacing w:after="0"/>
              <w:rPr>
                <w:sz w:val="20"/>
                <w:szCs w:val="20"/>
                <w:color w:val="auto"/>
              </w:rPr>
            </w:pPr>
            <w:r>
              <w:rPr>
                <w:rFonts w:ascii="Arial" w:cs="Arial" w:eastAsia="Arial" w:hAnsi="Arial"/>
                <w:sz w:val="18"/>
                <w:szCs w:val="18"/>
                <w:color w:val="auto"/>
              </w:rPr>
              <w:t>, 2020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1)"/>
      <w:numFmt w:val="decimal"/>
      <w:start w:val="2"/>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decimal"/>
      <w:start w:val="1"/>
    </w:lvl>
    <w:lvl w:ilvl="1">
      <w:lvlJc w:val="left"/>
      <w:lvlText w:val="(%2)"/>
      <w:numFmt w:val="decimal"/>
      <w:start w:val="1"/>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2"/>
    </w:lvl>
  </w:abstractNum>
  <w:abstractNum w:abstractNumId="57">
    <w:nsid w:val="661E3F1E"/>
    <w:multiLevelType w:val="hybridMultilevel"/>
    <w:lvl w:ilvl="0">
      <w:lvlJc w:val="left"/>
      <w:lvlText w:val="(%1)"/>
      <w:numFmt w:val="decimal"/>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endash "/>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lowerRoman"/>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
      <w:numFmt w:val="bullet"/>
      <w:start w:val="1"/>
    </w:lvl>
    <w:lvl w:ilvl="1">
      <w:lvlJc w:val="left"/>
      <w:lvlText w:val="(%2)"/>
      <w:numFmt w:val="lowerLetter"/>
      <w:start w:val="2"/>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2020-12-21T23:10:43Z</dcterms:created>
  <dcterms:modified xsi:type="dcterms:W3CDTF">2020-12-21T23:10:43Z</dcterms:modified>
</cp:coreProperties>
</file>